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3BBD9" w14:textId="77777777" w:rsidR="001E2484" w:rsidRPr="00137E44" w:rsidRDefault="001E2484" w:rsidP="001E2484">
      <w:pPr>
        <w:ind w:left="-567" w:right="0" w:firstLine="0"/>
        <w:rPr>
          <w:lang w:val="ru-RU"/>
        </w:rPr>
      </w:pPr>
    </w:p>
    <w:p w14:paraId="35A3BBDA" w14:textId="77777777" w:rsidR="001E2484" w:rsidRDefault="00F95AEF" w:rsidP="001E2484">
      <w:pPr>
        <w:ind w:left="-567" w:right="0" w:firstLine="0"/>
      </w:pPr>
      <w:r>
        <w:rPr>
          <w:noProof/>
        </w:rPr>
        <w:drawing>
          <wp:inline distT="0" distB="0" distL="0" distR="0" wp14:anchorId="35A3BBF2" wp14:editId="7CB2535B">
            <wp:extent cx="7296150" cy="2580640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ukr_eng-01-0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26" r="956"/>
                    <a:stretch/>
                  </pic:blipFill>
                  <pic:spPr bwMode="auto">
                    <a:xfrm>
                      <a:off x="0" y="0"/>
                      <a:ext cx="7328550" cy="2592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EF2FA4F" w14:textId="784463A9" w:rsidR="006A7787" w:rsidRDefault="00F67719" w:rsidP="00B677AE">
      <w:pPr>
        <w:ind w:left="0" w:firstLine="0"/>
        <w:jc w:val="center"/>
        <w:outlineLvl w:val="0"/>
        <w:rPr>
          <w:rFonts w:ascii="Century Gothic" w:eastAsia="Times New Roman" w:hAnsi="Century Gothic"/>
          <w:b/>
          <w:bCs/>
          <w:color w:val="434343"/>
          <w:kern w:val="36"/>
          <w:sz w:val="28"/>
          <w:szCs w:val="28"/>
        </w:rPr>
      </w:pPr>
      <w:r w:rsidRPr="00034D7B">
        <w:rPr>
          <w:rFonts w:ascii="Century Gothic" w:eastAsia="Times New Roman" w:hAnsi="Century Gothic"/>
          <w:b/>
          <w:bCs/>
          <w:color w:val="434343"/>
          <w:kern w:val="36"/>
          <w:sz w:val="28"/>
          <w:szCs w:val="28"/>
        </w:rPr>
        <w:t>П</w:t>
      </w:r>
      <w:r w:rsidR="00162CC9">
        <w:rPr>
          <w:rFonts w:ascii="Century Gothic" w:eastAsia="Times New Roman" w:hAnsi="Century Gothic"/>
          <w:b/>
          <w:bCs/>
          <w:color w:val="434343"/>
          <w:kern w:val="36"/>
          <w:sz w:val="28"/>
          <w:szCs w:val="28"/>
        </w:rPr>
        <w:t>ереказ</w:t>
      </w:r>
      <w:r w:rsidRPr="00034D7B">
        <w:rPr>
          <w:rFonts w:ascii="Century Gothic" w:eastAsia="Times New Roman" w:hAnsi="Century Gothic"/>
          <w:b/>
          <w:bCs/>
          <w:color w:val="434343"/>
          <w:kern w:val="36"/>
          <w:sz w:val="28"/>
          <w:szCs w:val="28"/>
        </w:rPr>
        <w:t xml:space="preserve"> </w:t>
      </w:r>
      <w:r w:rsidR="00B677AE">
        <w:rPr>
          <w:rFonts w:ascii="Century Gothic" w:eastAsia="Times New Roman" w:hAnsi="Century Gothic"/>
          <w:b/>
          <w:bCs/>
          <w:color w:val="434343"/>
          <w:kern w:val="36"/>
          <w:sz w:val="28"/>
          <w:szCs w:val="28"/>
        </w:rPr>
        <w:t xml:space="preserve">фізичними особами-резидентами </w:t>
      </w:r>
      <w:r w:rsidRPr="00034D7B">
        <w:rPr>
          <w:rFonts w:ascii="Century Gothic" w:eastAsia="Times New Roman" w:hAnsi="Century Gothic"/>
          <w:b/>
          <w:bCs/>
          <w:color w:val="434343"/>
          <w:kern w:val="36"/>
          <w:sz w:val="28"/>
          <w:szCs w:val="28"/>
        </w:rPr>
        <w:t xml:space="preserve">іноземної валюти за кордон </w:t>
      </w:r>
      <w:r w:rsidR="00B677AE">
        <w:rPr>
          <w:rFonts w:ascii="Century Gothic" w:eastAsia="Times New Roman" w:hAnsi="Century Gothic"/>
          <w:b/>
          <w:bCs/>
          <w:color w:val="434343"/>
          <w:kern w:val="36"/>
          <w:sz w:val="28"/>
          <w:szCs w:val="28"/>
        </w:rPr>
        <w:t xml:space="preserve">за операціями, що мають </w:t>
      </w:r>
      <w:r w:rsidR="00B8765A">
        <w:rPr>
          <w:rFonts w:ascii="Century Gothic" w:eastAsia="Times New Roman" w:hAnsi="Century Gothic"/>
          <w:b/>
          <w:bCs/>
          <w:color w:val="434343"/>
          <w:kern w:val="36"/>
          <w:sz w:val="28"/>
          <w:szCs w:val="28"/>
        </w:rPr>
        <w:t>здійснюватися</w:t>
      </w:r>
      <w:r w:rsidR="00B677AE">
        <w:rPr>
          <w:rFonts w:ascii="Century Gothic" w:eastAsia="Times New Roman" w:hAnsi="Century Gothic"/>
          <w:b/>
          <w:bCs/>
          <w:color w:val="434343"/>
          <w:kern w:val="36"/>
          <w:sz w:val="28"/>
          <w:szCs w:val="28"/>
        </w:rPr>
        <w:t xml:space="preserve"> з дотриманням</w:t>
      </w:r>
    </w:p>
    <w:p w14:paraId="30B6E27E" w14:textId="591338CD" w:rsidR="00F67719" w:rsidRPr="006A4156" w:rsidRDefault="007C7852" w:rsidP="00B677AE">
      <w:pPr>
        <w:ind w:left="0" w:firstLine="0"/>
        <w:jc w:val="center"/>
        <w:outlineLvl w:val="0"/>
        <w:rPr>
          <w:rFonts w:ascii="Century Gothic" w:eastAsia="Times New Roman" w:hAnsi="Century Gothic"/>
          <w:b/>
          <w:bCs/>
          <w:color w:val="434343"/>
          <w:kern w:val="36"/>
          <w:sz w:val="28"/>
          <w:szCs w:val="28"/>
        </w:rPr>
      </w:pPr>
      <w:r>
        <w:rPr>
          <w:rFonts w:ascii="Century Gothic" w:eastAsia="Times New Roman" w:hAnsi="Century Gothic"/>
          <w:b/>
          <w:bCs/>
          <w:color w:val="434343"/>
          <w:kern w:val="36"/>
          <w:sz w:val="28"/>
          <w:szCs w:val="28"/>
        </w:rPr>
        <w:t>л</w:t>
      </w:r>
      <w:r w:rsidR="00B677AE">
        <w:rPr>
          <w:rFonts w:ascii="Century Gothic" w:eastAsia="Times New Roman" w:hAnsi="Century Gothic"/>
          <w:b/>
          <w:bCs/>
          <w:color w:val="434343"/>
          <w:kern w:val="36"/>
          <w:sz w:val="28"/>
          <w:szCs w:val="28"/>
        </w:rPr>
        <w:t>іміту</w:t>
      </w:r>
      <w:r w:rsidRPr="00B8765A">
        <w:rPr>
          <w:rFonts w:ascii="Century Gothic" w:eastAsia="Times New Roman" w:hAnsi="Century Gothic"/>
          <w:b/>
          <w:bCs/>
          <w:color w:val="434343"/>
          <w:kern w:val="36"/>
          <w:sz w:val="28"/>
          <w:szCs w:val="28"/>
          <w:lang w:val="ru-RU"/>
        </w:rPr>
        <w:t xml:space="preserve"> </w:t>
      </w:r>
      <w:r>
        <w:rPr>
          <w:rFonts w:ascii="Century Gothic" w:eastAsia="Times New Roman" w:hAnsi="Century Gothic"/>
          <w:b/>
          <w:bCs/>
          <w:color w:val="434343"/>
          <w:kern w:val="36"/>
          <w:sz w:val="28"/>
          <w:szCs w:val="28"/>
        </w:rPr>
        <w:t>встановленого НБУ</w:t>
      </w:r>
      <w:r w:rsidR="00B677AE">
        <w:rPr>
          <w:rFonts w:ascii="Century Gothic" w:eastAsia="Times New Roman" w:hAnsi="Century Gothic"/>
          <w:b/>
          <w:bCs/>
          <w:color w:val="434343"/>
          <w:kern w:val="36"/>
          <w:sz w:val="28"/>
          <w:szCs w:val="28"/>
        </w:rPr>
        <w:t xml:space="preserve"> </w:t>
      </w:r>
    </w:p>
    <w:p w14:paraId="35A3BBDC" w14:textId="7DB68EAE" w:rsidR="001E2484" w:rsidRDefault="001E2484" w:rsidP="00F67719">
      <w:pPr>
        <w:ind w:right="0"/>
      </w:pPr>
    </w:p>
    <w:p w14:paraId="35A3BBDD" w14:textId="77777777" w:rsidR="001E2484" w:rsidRDefault="001E2484" w:rsidP="001E2484">
      <w:pPr>
        <w:ind w:left="-567" w:right="0" w:firstLine="0"/>
      </w:pPr>
    </w:p>
    <w:p w14:paraId="08FC74BE" w14:textId="5EEE494F" w:rsidR="00F67719" w:rsidRPr="00FC1609" w:rsidRDefault="00622C56" w:rsidP="00F67719">
      <w:pPr>
        <w:ind w:left="-567" w:right="0" w:firstLine="0"/>
        <w:rPr>
          <w:rFonts w:ascii="Century Gothic" w:eastAsia="Times New Roman" w:hAnsi="Century Gothic"/>
          <w:b/>
          <w:sz w:val="21"/>
          <w:szCs w:val="21"/>
        </w:rPr>
      </w:pPr>
      <w:r>
        <w:rPr>
          <w:rFonts w:ascii="Century Gothic" w:eastAsia="Times New Roman" w:hAnsi="Century Gothic"/>
          <w:b/>
          <w:sz w:val="21"/>
          <w:szCs w:val="21"/>
        </w:rPr>
        <w:t xml:space="preserve">          </w:t>
      </w:r>
      <w:r w:rsidR="00F67719" w:rsidRPr="00FC1609">
        <w:rPr>
          <w:rFonts w:ascii="Century Gothic" w:eastAsia="Times New Roman" w:hAnsi="Century Gothic"/>
          <w:b/>
          <w:sz w:val="21"/>
          <w:szCs w:val="21"/>
        </w:rPr>
        <w:t>Шановні клієнти!</w:t>
      </w:r>
    </w:p>
    <w:p w14:paraId="58174436" w14:textId="77777777" w:rsidR="00F67719" w:rsidRPr="00556201" w:rsidRDefault="00F67719" w:rsidP="00F67719">
      <w:pPr>
        <w:spacing w:line="360" w:lineRule="auto"/>
        <w:ind w:right="-30"/>
        <w:rPr>
          <w:rFonts w:ascii="Century Gothic" w:eastAsia="Times New Roman" w:hAnsi="Century Gothic"/>
          <w:sz w:val="21"/>
          <w:szCs w:val="21"/>
        </w:rPr>
      </w:pPr>
    </w:p>
    <w:p w14:paraId="328456CB" w14:textId="1D1321FF" w:rsidR="00803075" w:rsidRDefault="00F67719" w:rsidP="00C00A7F">
      <w:pPr>
        <w:ind w:left="-10" w:firstLine="0"/>
        <w:rPr>
          <w:rFonts w:ascii="Century Gothic" w:eastAsia="Times New Roman" w:hAnsi="Century Gothic"/>
          <w:sz w:val="21"/>
          <w:szCs w:val="21"/>
        </w:rPr>
      </w:pPr>
      <w:r w:rsidRPr="00FC1609">
        <w:rPr>
          <w:rFonts w:ascii="Century Gothic" w:eastAsia="Times New Roman" w:hAnsi="Century Gothic"/>
          <w:sz w:val="21"/>
          <w:szCs w:val="21"/>
        </w:rPr>
        <w:t xml:space="preserve">Відповідно до </w:t>
      </w:r>
      <w:r w:rsidR="00B677AE">
        <w:rPr>
          <w:rFonts w:ascii="Century Gothic" w:eastAsia="Times New Roman" w:hAnsi="Century Gothic"/>
          <w:sz w:val="21"/>
          <w:szCs w:val="21"/>
        </w:rPr>
        <w:t xml:space="preserve">вимог </w:t>
      </w:r>
      <w:r w:rsidRPr="00FC1609">
        <w:rPr>
          <w:rFonts w:ascii="Century Gothic" w:eastAsia="Times New Roman" w:hAnsi="Century Gothic"/>
          <w:sz w:val="21"/>
          <w:szCs w:val="21"/>
        </w:rPr>
        <w:t xml:space="preserve">Положення про </w:t>
      </w:r>
      <w:r>
        <w:rPr>
          <w:rFonts w:ascii="Century Gothic" w:eastAsia="Times New Roman" w:hAnsi="Century Gothic"/>
          <w:sz w:val="21"/>
          <w:szCs w:val="21"/>
        </w:rPr>
        <w:t>заходи захисту та визначення порядку здійснення окремих валютних операцій в іноземній валюті,</w:t>
      </w:r>
      <w:r w:rsidRPr="00FC1609">
        <w:rPr>
          <w:rFonts w:ascii="Century Gothic" w:eastAsia="Times New Roman" w:hAnsi="Century Gothic"/>
          <w:sz w:val="21"/>
          <w:szCs w:val="21"/>
        </w:rPr>
        <w:t xml:space="preserve"> затверджен</w:t>
      </w:r>
      <w:r w:rsidR="00B677AE">
        <w:rPr>
          <w:rFonts w:ascii="Century Gothic" w:eastAsia="Times New Roman" w:hAnsi="Century Gothic"/>
          <w:sz w:val="21"/>
          <w:szCs w:val="21"/>
        </w:rPr>
        <w:t>ого</w:t>
      </w:r>
      <w:r w:rsidRPr="00FC1609">
        <w:rPr>
          <w:rFonts w:ascii="Century Gothic" w:eastAsia="Times New Roman" w:hAnsi="Century Gothic"/>
          <w:sz w:val="21"/>
          <w:szCs w:val="21"/>
        </w:rPr>
        <w:t xml:space="preserve"> </w:t>
      </w:r>
      <w:r w:rsidR="00B677AE">
        <w:rPr>
          <w:rFonts w:ascii="Century Gothic" w:eastAsia="Times New Roman" w:hAnsi="Century Gothic"/>
          <w:sz w:val="21"/>
          <w:szCs w:val="21"/>
        </w:rPr>
        <w:t>п</w:t>
      </w:r>
      <w:r w:rsidRPr="00FC1609">
        <w:rPr>
          <w:rFonts w:ascii="Century Gothic" w:eastAsia="Times New Roman" w:hAnsi="Century Gothic"/>
          <w:sz w:val="21"/>
          <w:szCs w:val="21"/>
        </w:rPr>
        <w:t>остановою Правління Національного банку України від 02.01.2019 р. №</w:t>
      </w:r>
      <w:r>
        <w:rPr>
          <w:rFonts w:ascii="Century Gothic" w:eastAsia="Times New Roman" w:hAnsi="Century Gothic"/>
          <w:sz w:val="21"/>
          <w:szCs w:val="21"/>
        </w:rPr>
        <w:t>5</w:t>
      </w:r>
      <w:r w:rsidRPr="00FC1609">
        <w:rPr>
          <w:rFonts w:ascii="Century Gothic" w:eastAsia="Times New Roman" w:hAnsi="Century Gothic"/>
          <w:sz w:val="21"/>
          <w:szCs w:val="21"/>
        </w:rPr>
        <w:t xml:space="preserve">, </w:t>
      </w:r>
      <w:r w:rsidR="00183688" w:rsidRPr="00E033EF">
        <w:rPr>
          <w:rFonts w:ascii="Century Gothic" w:eastAsia="Times New Roman" w:hAnsi="Century Gothic"/>
          <w:sz w:val="21"/>
          <w:szCs w:val="21"/>
        </w:rPr>
        <w:t>фізичній особі-резиденту дозволяється здійснювати валютні операції з переказу коштів з України</w:t>
      </w:r>
      <w:r w:rsidR="005B1D0C">
        <w:rPr>
          <w:rFonts w:ascii="Century Gothic" w:eastAsia="Times New Roman" w:hAnsi="Century Gothic"/>
          <w:sz w:val="21"/>
          <w:szCs w:val="21"/>
        </w:rPr>
        <w:t xml:space="preserve"> </w:t>
      </w:r>
      <w:r w:rsidR="00803075" w:rsidRPr="00E033EF">
        <w:rPr>
          <w:rFonts w:ascii="Century Gothic" w:eastAsia="Times New Roman" w:hAnsi="Century Gothic"/>
          <w:sz w:val="21"/>
          <w:szCs w:val="21"/>
        </w:rPr>
        <w:t>з метою:</w:t>
      </w:r>
      <w:r w:rsidR="00803075">
        <w:rPr>
          <w:rFonts w:ascii="Century Gothic" w:eastAsia="Times New Roman" w:hAnsi="Century Gothic"/>
          <w:sz w:val="21"/>
          <w:szCs w:val="21"/>
        </w:rPr>
        <w:t xml:space="preserve"> </w:t>
      </w:r>
    </w:p>
    <w:p w14:paraId="029296E2" w14:textId="73C0C8BD" w:rsidR="00803075" w:rsidRPr="00556201" w:rsidRDefault="00803075" w:rsidP="00803075">
      <w:pPr>
        <w:numPr>
          <w:ilvl w:val="0"/>
          <w:numId w:val="3"/>
        </w:numPr>
        <w:spacing w:before="100" w:beforeAutospacing="1" w:after="75" w:line="240" w:lineRule="auto"/>
        <w:ind w:right="0"/>
        <w:jc w:val="left"/>
        <w:rPr>
          <w:rFonts w:ascii="Century Gothic" w:eastAsia="Times New Roman" w:hAnsi="Century Gothic"/>
          <w:sz w:val="21"/>
          <w:szCs w:val="21"/>
        </w:rPr>
      </w:pPr>
      <w:r w:rsidRPr="00556201">
        <w:rPr>
          <w:rFonts w:ascii="Century Gothic" w:eastAsia="Times New Roman" w:hAnsi="Century Gothic"/>
          <w:sz w:val="21"/>
          <w:szCs w:val="21"/>
        </w:rPr>
        <w:t xml:space="preserve">виконання </w:t>
      </w:r>
      <w:r>
        <w:rPr>
          <w:rFonts w:ascii="Century Gothic" w:eastAsia="Times New Roman" w:hAnsi="Century Gothic"/>
          <w:sz w:val="21"/>
          <w:szCs w:val="21"/>
        </w:rPr>
        <w:t xml:space="preserve">власних </w:t>
      </w:r>
      <w:r w:rsidRPr="00556201">
        <w:rPr>
          <w:rFonts w:ascii="Century Gothic" w:eastAsia="Times New Roman" w:hAnsi="Century Gothic"/>
          <w:sz w:val="21"/>
          <w:szCs w:val="21"/>
        </w:rPr>
        <w:t>зобов’язань</w:t>
      </w:r>
      <w:r>
        <w:rPr>
          <w:rFonts w:ascii="Century Gothic" w:eastAsia="Times New Roman" w:hAnsi="Century Gothic"/>
          <w:sz w:val="21"/>
          <w:szCs w:val="21"/>
        </w:rPr>
        <w:t xml:space="preserve"> </w:t>
      </w:r>
      <w:r w:rsidRPr="00556201">
        <w:rPr>
          <w:rFonts w:ascii="Century Gothic" w:eastAsia="Times New Roman" w:hAnsi="Century Gothic"/>
          <w:sz w:val="21"/>
          <w:szCs w:val="21"/>
        </w:rPr>
        <w:t xml:space="preserve">перед </w:t>
      </w:r>
      <w:r w:rsidR="00AC6536" w:rsidRPr="00556201">
        <w:rPr>
          <w:rFonts w:ascii="Century Gothic" w:eastAsia="Times New Roman" w:hAnsi="Century Gothic"/>
          <w:sz w:val="21"/>
          <w:szCs w:val="21"/>
        </w:rPr>
        <w:t>нерезидент</w:t>
      </w:r>
      <w:r w:rsidR="00AC6536">
        <w:rPr>
          <w:rFonts w:ascii="Century Gothic" w:eastAsia="Times New Roman" w:hAnsi="Century Gothic"/>
          <w:sz w:val="21"/>
          <w:szCs w:val="21"/>
        </w:rPr>
        <w:t>ом</w:t>
      </w:r>
      <w:r w:rsidR="00AC6536" w:rsidRPr="00556201">
        <w:rPr>
          <w:rFonts w:ascii="Century Gothic" w:eastAsia="Times New Roman" w:hAnsi="Century Gothic"/>
          <w:sz w:val="21"/>
          <w:szCs w:val="21"/>
        </w:rPr>
        <w:t xml:space="preserve"> </w:t>
      </w:r>
      <w:r w:rsidRPr="00556201">
        <w:rPr>
          <w:rFonts w:ascii="Century Gothic" w:eastAsia="Times New Roman" w:hAnsi="Century Gothic"/>
          <w:sz w:val="21"/>
          <w:szCs w:val="21"/>
        </w:rPr>
        <w:t>за договор</w:t>
      </w:r>
      <w:r>
        <w:rPr>
          <w:rFonts w:ascii="Century Gothic" w:eastAsia="Times New Roman" w:hAnsi="Century Gothic"/>
          <w:sz w:val="21"/>
          <w:szCs w:val="21"/>
        </w:rPr>
        <w:t>ом</w:t>
      </w:r>
      <w:r w:rsidRPr="00556201">
        <w:rPr>
          <w:rFonts w:ascii="Century Gothic" w:eastAsia="Times New Roman" w:hAnsi="Century Gothic"/>
          <w:sz w:val="21"/>
          <w:szCs w:val="21"/>
        </w:rPr>
        <w:t xml:space="preserve"> страхування життя</w:t>
      </w:r>
      <w:r>
        <w:rPr>
          <w:rFonts w:ascii="Century Gothic" w:eastAsia="Times New Roman" w:hAnsi="Century Gothic"/>
          <w:sz w:val="21"/>
          <w:szCs w:val="21"/>
        </w:rPr>
        <w:t>;</w:t>
      </w:r>
    </w:p>
    <w:p w14:paraId="4CB31B1E" w14:textId="77777777" w:rsidR="00803075" w:rsidRPr="00556201" w:rsidRDefault="00803075" w:rsidP="00803075">
      <w:pPr>
        <w:numPr>
          <w:ilvl w:val="0"/>
          <w:numId w:val="3"/>
        </w:numPr>
        <w:spacing w:before="100" w:beforeAutospacing="1" w:after="75" w:line="240" w:lineRule="auto"/>
        <w:ind w:right="0"/>
        <w:jc w:val="left"/>
        <w:rPr>
          <w:rFonts w:ascii="Century Gothic" w:eastAsia="Times New Roman" w:hAnsi="Century Gothic"/>
          <w:sz w:val="21"/>
          <w:szCs w:val="21"/>
        </w:rPr>
      </w:pPr>
      <w:r w:rsidRPr="00556201">
        <w:rPr>
          <w:rFonts w:ascii="Century Gothic" w:eastAsia="Times New Roman" w:hAnsi="Century Gothic"/>
          <w:sz w:val="21"/>
          <w:szCs w:val="21"/>
        </w:rPr>
        <w:t xml:space="preserve"> </w:t>
      </w:r>
      <w:r>
        <w:rPr>
          <w:rFonts w:ascii="Century Gothic" w:eastAsia="Times New Roman" w:hAnsi="Century Gothic"/>
          <w:sz w:val="21"/>
          <w:szCs w:val="21"/>
        </w:rPr>
        <w:t xml:space="preserve">здійснення </w:t>
      </w:r>
      <w:r w:rsidRPr="00556201">
        <w:rPr>
          <w:rFonts w:ascii="Century Gothic" w:eastAsia="Times New Roman" w:hAnsi="Century Gothic"/>
          <w:sz w:val="21"/>
          <w:szCs w:val="21"/>
        </w:rPr>
        <w:t>інвестицій за</w:t>
      </w:r>
      <w:r>
        <w:rPr>
          <w:rFonts w:ascii="Century Gothic" w:eastAsia="Times New Roman" w:hAnsi="Century Gothic"/>
          <w:sz w:val="21"/>
          <w:szCs w:val="21"/>
        </w:rPr>
        <w:t xml:space="preserve"> кордон</w:t>
      </w:r>
      <w:r w:rsidRPr="00556201">
        <w:rPr>
          <w:rFonts w:ascii="Century Gothic" w:eastAsia="Times New Roman" w:hAnsi="Century Gothic"/>
          <w:sz w:val="21"/>
          <w:szCs w:val="21"/>
        </w:rPr>
        <w:t>;</w:t>
      </w:r>
    </w:p>
    <w:p w14:paraId="4555455E" w14:textId="38B7517B" w:rsidR="005B1D0C" w:rsidRPr="005B1D0C" w:rsidRDefault="00803075" w:rsidP="005B1D0C">
      <w:pPr>
        <w:numPr>
          <w:ilvl w:val="0"/>
          <w:numId w:val="3"/>
        </w:numPr>
        <w:spacing w:before="100" w:beforeAutospacing="1" w:after="75" w:line="240" w:lineRule="auto"/>
        <w:ind w:right="0"/>
        <w:jc w:val="left"/>
        <w:rPr>
          <w:rFonts w:ascii="Century Gothic" w:eastAsia="Times New Roman" w:hAnsi="Century Gothic"/>
          <w:sz w:val="21"/>
          <w:szCs w:val="21"/>
        </w:rPr>
      </w:pPr>
      <w:r w:rsidRPr="00556201">
        <w:rPr>
          <w:rFonts w:ascii="Century Gothic" w:eastAsia="Times New Roman" w:hAnsi="Century Gothic"/>
          <w:sz w:val="21"/>
          <w:szCs w:val="21"/>
        </w:rPr>
        <w:t>розміщення коштів на вла</w:t>
      </w:r>
      <w:r>
        <w:rPr>
          <w:rFonts w:ascii="Century Gothic" w:eastAsia="Times New Roman" w:hAnsi="Century Gothic"/>
          <w:sz w:val="21"/>
          <w:szCs w:val="21"/>
        </w:rPr>
        <w:t>сному рахунку за межами</w:t>
      </w:r>
      <w:r w:rsidR="00894503">
        <w:rPr>
          <w:rFonts w:ascii="Century Gothic" w:eastAsia="Times New Roman" w:hAnsi="Century Gothic"/>
          <w:sz w:val="21"/>
          <w:szCs w:val="21"/>
        </w:rPr>
        <w:t xml:space="preserve"> України;</w:t>
      </w:r>
    </w:p>
    <w:p w14:paraId="76697CC6" w14:textId="0A1F7980" w:rsidR="00183688" w:rsidRPr="00E033EF" w:rsidRDefault="00183688" w:rsidP="00803075">
      <w:pPr>
        <w:ind w:left="0"/>
        <w:rPr>
          <w:rFonts w:ascii="Century Gothic" w:eastAsia="Times New Roman" w:hAnsi="Century Gothic"/>
          <w:sz w:val="21"/>
          <w:szCs w:val="21"/>
        </w:rPr>
      </w:pPr>
      <w:r w:rsidRPr="00984185">
        <w:rPr>
          <w:rFonts w:ascii="Century Gothic" w:eastAsia="Times New Roman" w:hAnsi="Century Gothic" w:cs="Century Gothic"/>
          <w:b/>
          <w:sz w:val="21"/>
          <w:szCs w:val="21"/>
        </w:rPr>
        <w:t>протягом</w:t>
      </w:r>
      <w:r w:rsidRPr="00984185">
        <w:rPr>
          <w:rFonts w:ascii="Century Gothic" w:eastAsia="Times New Roman" w:hAnsi="Century Gothic"/>
          <w:b/>
          <w:sz w:val="21"/>
          <w:szCs w:val="21"/>
        </w:rPr>
        <w:t xml:space="preserve"> </w:t>
      </w:r>
      <w:r w:rsidRPr="00984185">
        <w:rPr>
          <w:rFonts w:ascii="Century Gothic" w:eastAsia="Times New Roman" w:hAnsi="Century Gothic" w:cs="Century Gothic"/>
          <w:b/>
          <w:sz w:val="21"/>
          <w:szCs w:val="21"/>
        </w:rPr>
        <w:t>календарного</w:t>
      </w:r>
      <w:r w:rsidRPr="00984185">
        <w:rPr>
          <w:rFonts w:ascii="Century Gothic" w:eastAsia="Times New Roman" w:hAnsi="Century Gothic"/>
          <w:b/>
          <w:sz w:val="21"/>
          <w:szCs w:val="21"/>
        </w:rPr>
        <w:t xml:space="preserve"> </w:t>
      </w:r>
      <w:r w:rsidRPr="00984185">
        <w:rPr>
          <w:rFonts w:ascii="Century Gothic" w:eastAsia="Times New Roman" w:hAnsi="Century Gothic" w:cs="Century Gothic"/>
          <w:b/>
          <w:sz w:val="21"/>
          <w:szCs w:val="21"/>
        </w:rPr>
        <w:t>року</w:t>
      </w:r>
      <w:r w:rsidRPr="00E033EF">
        <w:rPr>
          <w:rFonts w:ascii="Century Gothic" w:eastAsia="Times New Roman" w:hAnsi="Century Gothic"/>
          <w:sz w:val="21"/>
          <w:szCs w:val="21"/>
        </w:rPr>
        <w:t xml:space="preserve"> </w:t>
      </w:r>
      <w:r w:rsidRPr="00E033EF">
        <w:rPr>
          <w:rFonts w:ascii="Century Gothic" w:eastAsia="Times New Roman" w:hAnsi="Century Gothic" w:cs="Century Gothic"/>
          <w:sz w:val="21"/>
          <w:szCs w:val="21"/>
        </w:rPr>
        <w:t>на</w:t>
      </w:r>
      <w:r w:rsidRPr="00E033EF">
        <w:rPr>
          <w:rFonts w:ascii="Century Gothic" w:eastAsia="Times New Roman" w:hAnsi="Century Gothic"/>
          <w:sz w:val="21"/>
          <w:szCs w:val="21"/>
        </w:rPr>
        <w:t xml:space="preserve"> </w:t>
      </w:r>
      <w:r w:rsidRPr="00E033EF">
        <w:rPr>
          <w:rFonts w:ascii="Century Gothic" w:eastAsia="Times New Roman" w:hAnsi="Century Gothic" w:cs="Century Gothic"/>
          <w:sz w:val="21"/>
          <w:szCs w:val="21"/>
        </w:rPr>
        <w:t>загальну</w:t>
      </w:r>
      <w:r w:rsidRPr="00E033EF">
        <w:rPr>
          <w:rFonts w:ascii="Century Gothic" w:eastAsia="Times New Roman" w:hAnsi="Century Gothic"/>
          <w:sz w:val="21"/>
          <w:szCs w:val="21"/>
        </w:rPr>
        <w:t xml:space="preserve"> </w:t>
      </w:r>
      <w:r w:rsidRPr="00E033EF">
        <w:rPr>
          <w:rFonts w:ascii="Century Gothic" w:eastAsia="Times New Roman" w:hAnsi="Century Gothic" w:cs="Century Gothic"/>
          <w:sz w:val="21"/>
          <w:szCs w:val="21"/>
        </w:rPr>
        <w:t>суму</w:t>
      </w:r>
      <w:r w:rsidRPr="00E033EF">
        <w:rPr>
          <w:rFonts w:ascii="Century Gothic" w:eastAsia="Times New Roman" w:hAnsi="Century Gothic"/>
          <w:sz w:val="21"/>
          <w:szCs w:val="21"/>
        </w:rPr>
        <w:t xml:space="preserve">, </w:t>
      </w:r>
      <w:r w:rsidRPr="00E033EF">
        <w:rPr>
          <w:rFonts w:ascii="Century Gothic" w:eastAsia="Times New Roman" w:hAnsi="Century Gothic" w:cs="Century Gothic"/>
          <w:sz w:val="21"/>
          <w:szCs w:val="21"/>
        </w:rPr>
        <w:t>що</w:t>
      </w:r>
      <w:r w:rsidRPr="00E033EF">
        <w:rPr>
          <w:rFonts w:ascii="Century Gothic" w:eastAsia="Times New Roman" w:hAnsi="Century Gothic"/>
          <w:sz w:val="21"/>
          <w:szCs w:val="21"/>
        </w:rPr>
        <w:t xml:space="preserve"> </w:t>
      </w:r>
      <w:r w:rsidRPr="00E033EF">
        <w:rPr>
          <w:rFonts w:ascii="Century Gothic" w:eastAsia="Times New Roman" w:hAnsi="Century Gothic" w:cs="Century Gothic"/>
          <w:sz w:val="21"/>
          <w:szCs w:val="21"/>
        </w:rPr>
        <w:t>не</w:t>
      </w:r>
      <w:r w:rsidRPr="00E033EF">
        <w:rPr>
          <w:rFonts w:ascii="Century Gothic" w:eastAsia="Times New Roman" w:hAnsi="Century Gothic"/>
          <w:sz w:val="21"/>
          <w:szCs w:val="21"/>
        </w:rPr>
        <w:t xml:space="preserve"> </w:t>
      </w:r>
      <w:r w:rsidRPr="00E033EF">
        <w:rPr>
          <w:rFonts w:ascii="Century Gothic" w:eastAsia="Times New Roman" w:hAnsi="Century Gothic" w:cs="Century Gothic"/>
          <w:sz w:val="21"/>
          <w:szCs w:val="21"/>
        </w:rPr>
        <w:t>має</w:t>
      </w:r>
      <w:r w:rsidRPr="00E033EF">
        <w:rPr>
          <w:rFonts w:ascii="Century Gothic" w:eastAsia="Times New Roman" w:hAnsi="Century Gothic"/>
          <w:sz w:val="21"/>
          <w:szCs w:val="21"/>
        </w:rPr>
        <w:t xml:space="preserve"> </w:t>
      </w:r>
      <w:r w:rsidRPr="00E033EF">
        <w:rPr>
          <w:rFonts w:ascii="Century Gothic" w:eastAsia="Times New Roman" w:hAnsi="Century Gothic" w:cs="Century Gothic"/>
          <w:sz w:val="21"/>
          <w:szCs w:val="21"/>
        </w:rPr>
        <w:t>перевищу</w:t>
      </w:r>
      <w:r w:rsidRPr="00E033EF">
        <w:rPr>
          <w:rFonts w:ascii="Century Gothic" w:eastAsia="Times New Roman" w:hAnsi="Century Gothic"/>
          <w:sz w:val="21"/>
          <w:szCs w:val="21"/>
        </w:rPr>
        <w:t xml:space="preserve">вати в сукупності </w:t>
      </w:r>
      <w:r w:rsidRPr="00984185">
        <w:rPr>
          <w:rFonts w:ascii="Century Gothic" w:eastAsia="Times New Roman" w:hAnsi="Century Gothic"/>
          <w:b/>
          <w:sz w:val="21"/>
          <w:szCs w:val="21"/>
        </w:rPr>
        <w:t xml:space="preserve">50 000 євро </w:t>
      </w:r>
      <w:r w:rsidR="00AC6536">
        <w:rPr>
          <w:rFonts w:ascii="Century Gothic" w:eastAsia="Times New Roman" w:hAnsi="Century Gothic"/>
          <w:b/>
          <w:sz w:val="21"/>
          <w:szCs w:val="21"/>
        </w:rPr>
        <w:t xml:space="preserve">включно </w:t>
      </w:r>
      <w:r w:rsidRPr="00984185">
        <w:rPr>
          <w:rFonts w:ascii="Century Gothic" w:eastAsia="Times New Roman" w:hAnsi="Century Gothic"/>
          <w:b/>
          <w:sz w:val="21"/>
          <w:szCs w:val="21"/>
        </w:rPr>
        <w:t>(</w:t>
      </w:r>
      <w:r w:rsidR="00AC6536">
        <w:rPr>
          <w:rFonts w:ascii="Century Gothic" w:eastAsia="Times New Roman" w:hAnsi="Century Gothic"/>
          <w:b/>
          <w:sz w:val="21"/>
          <w:szCs w:val="21"/>
        </w:rPr>
        <w:t>еквівалент цієї суми в іншій іноземній валюті за офіційним курсом НБУ на дату здійснення відповідної операції</w:t>
      </w:r>
      <w:r w:rsidRPr="00984185">
        <w:rPr>
          <w:rFonts w:ascii="Century Gothic" w:eastAsia="Times New Roman" w:hAnsi="Century Gothic"/>
          <w:b/>
          <w:sz w:val="21"/>
          <w:szCs w:val="21"/>
        </w:rPr>
        <w:t>)</w:t>
      </w:r>
      <w:r w:rsidR="00803075">
        <w:rPr>
          <w:rFonts w:ascii="Century Gothic" w:eastAsia="Times New Roman" w:hAnsi="Century Gothic"/>
          <w:b/>
          <w:sz w:val="21"/>
          <w:szCs w:val="21"/>
        </w:rPr>
        <w:t>.</w:t>
      </w:r>
      <w:r w:rsidRPr="00E033EF">
        <w:rPr>
          <w:rFonts w:ascii="Century Gothic" w:eastAsia="Times New Roman" w:hAnsi="Century Gothic"/>
          <w:sz w:val="21"/>
          <w:szCs w:val="21"/>
        </w:rPr>
        <w:t xml:space="preserve"> </w:t>
      </w:r>
    </w:p>
    <w:p w14:paraId="45B32C4D" w14:textId="2E78E5C2" w:rsidR="00A175F5" w:rsidRDefault="00A55924" w:rsidP="00E67813">
      <w:pPr>
        <w:spacing w:before="100" w:beforeAutospacing="1" w:after="100" w:afterAutospacing="1"/>
        <w:ind w:left="10" w:right="142" w:firstLine="10"/>
        <w:rPr>
          <w:rFonts w:ascii="Century Gothic" w:eastAsia="Times New Roman" w:hAnsi="Century Gothic"/>
          <w:bCs/>
          <w:color w:val="434343"/>
          <w:sz w:val="21"/>
          <w:szCs w:val="21"/>
        </w:rPr>
      </w:pPr>
      <w:r>
        <w:rPr>
          <w:rFonts w:ascii="Century Gothic" w:eastAsia="Times New Roman" w:hAnsi="Century Gothic"/>
          <w:bCs/>
          <w:color w:val="434343"/>
          <w:sz w:val="21"/>
          <w:szCs w:val="21"/>
        </w:rPr>
        <w:t>Вказаний л</w:t>
      </w:r>
      <w:r w:rsidR="00A175F5" w:rsidRPr="00A175F5">
        <w:rPr>
          <w:rFonts w:ascii="Century Gothic" w:eastAsia="Times New Roman" w:hAnsi="Century Gothic"/>
          <w:bCs/>
          <w:color w:val="434343"/>
          <w:sz w:val="21"/>
          <w:szCs w:val="21"/>
        </w:rPr>
        <w:t>іміт</w:t>
      </w:r>
      <w:r w:rsidR="007C7852">
        <w:rPr>
          <w:rFonts w:ascii="Century Gothic" w:eastAsia="Times New Roman" w:hAnsi="Century Gothic"/>
          <w:bCs/>
          <w:color w:val="434343"/>
          <w:sz w:val="21"/>
          <w:szCs w:val="21"/>
        </w:rPr>
        <w:t xml:space="preserve"> (надалі- «Е-ліміт»)</w:t>
      </w:r>
      <w:r w:rsidR="00A175F5" w:rsidRPr="00A175F5">
        <w:rPr>
          <w:rFonts w:ascii="Century Gothic" w:eastAsia="Times New Roman" w:hAnsi="Century Gothic"/>
          <w:bCs/>
          <w:color w:val="434343"/>
          <w:sz w:val="21"/>
          <w:szCs w:val="21"/>
        </w:rPr>
        <w:t xml:space="preserve"> поширюється на валютні операції фізичних осіб</w:t>
      </w:r>
      <w:r>
        <w:rPr>
          <w:rFonts w:ascii="Century Gothic" w:eastAsia="Times New Roman" w:hAnsi="Century Gothic"/>
          <w:bCs/>
          <w:color w:val="434343"/>
          <w:sz w:val="21"/>
          <w:szCs w:val="21"/>
        </w:rPr>
        <w:t>-резидентів</w:t>
      </w:r>
      <w:r w:rsidR="00A175F5" w:rsidRPr="00A175F5">
        <w:rPr>
          <w:rFonts w:ascii="Century Gothic" w:eastAsia="Times New Roman" w:hAnsi="Century Gothic"/>
          <w:bCs/>
          <w:color w:val="434343"/>
          <w:sz w:val="21"/>
          <w:szCs w:val="21"/>
        </w:rPr>
        <w:t xml:space="preserve"> за умови, що ці операції здійснюються </w:t>
      </w:r>
      <w:r>
        <w:rPr>
          <w:rFonts w:ascii="Century Gothic" w:eastAsia="Times New Roman" w:hAnsi="Century Gothic"/>
          <w:bCs/>
          <w:color w:val="434343"/>
          <w:sz w:val="21"/>
          <w:szCs w:val="21"/>
        </w:rPr>
        <w:t>ними</w:t>
      </w:r>
      <w:r w:rsidR="00A175F5" w:rsidRPr="00A175F5">
        <w:rPr>
          <w:rFonts w:ascii="Century Gothic" w:eastAsia="Times New Roman" w:hAnsi="Century Gothic"/>
          <w:bCs/>
          <w:color w:val="434343"/>
          <w:sz w:val="21"/>
          <w:szCs w:val="21"/>
        </w:rPr>
        <w:t xml:space="preserve"> для власних потреб та не пов'язані з їх підприємницькою діяльністю.</w:t>
      </w:r>
    </w:p>
    <w:p w14:paraId="1EB49E1D" w14:textId="7238F964" w:rsidR="000C75FD" w:rsidRPr="00A175F5" w:rsidRDefault="000C75FD" w:rsidP="00AB2CF4">
      <w:pPr>
        <w:spacing w:before="100" w:beforeAutospacing="1" w:after="100" w:afterAutospacing="1"/>
        <w:ind w:left="20" w:right="142"/>
        <w:rPr>
          <w:rFonts w:ascii="Century Gothic" w:eastAsia="Times New Roman" w:hAnsi="Century Gothic"/>
          <w:bCs/>
          <w:color w:val="434343"/>
          <w:sz w:val="21"/>
          <w:szCs w:val="21"/>
        </w:rPr>
      </w:pPr>
      <w:r>
        <w:rPr>
          <w:rFonts w:ascii="Century Gothic" w:eastAsia="Times New Roman" w:hAnsi="Century Gothic"/>
          <w:bCs/>
          <w:color w:val="434343"/>
          <w:sz w:val="21"/>
          <w:szCs w:val="21"/>
        </w:rPr>
        <w:t xml:space="preserve">Послуги з переказу іноземної валюти за кордон за операціями, на які поширюється </w:t>
      </w:r>
      <w:r w:rsidR="007C7852">
        <w:rPr>
          <w:rFonts w:ascii="Century Gothic" w:eastAsia="Times New Roman" w:hAnsi="Century Gothic"/>
          <w:bCs/>
          <w:color w:val="434343"/>
          <w:sz w:val="21"/>
          <w:szCs w:val="21"/>
        </w:rPr>
        <w:t>Е</w:t>
      </w:r>
      <w:r w:rsidR="005B1D0C">
        <w:rPr>
          <w:rFonts w:ascii="Century Gothic" w:eastAsia="Times New Roman" w:hAnsi="Century Gothic"/>
          <w:bCs/>
          <w:color w:val="434343"/>
          <w:sz w:val="21"/>
          <w:szCs w:val="21"/>
        </w:rPr>
        <w:t>-</w:t>
      </w:r>
      <w:r>
        <w:rPr>
          <w:rFonts w:ascii="Century Gothic" w:eastAsia="Times New Roman" w:hAnsi="Century Gothic"/>
          <w:bCs/>
          <w:color w:val="434343"/>
          <w:sz w:val="21"/>
          <w:szCs w:val="21"/>
        </w:rPr>
        <w:t>ліміт, надаються клієнтам – фізичним особам – резидентам, що мають відкриті власні поточні рахунки в АТ «Райффайзен Банк Аваль»</w:t>
      </w:r>
      <w:r w:rsidR="0061372A">
        <w:rPr>
          <w:rFonts w:ascii="Century Gothic" w:eastAsia="Times New Roman" w:hAnsi="Century Gothic"/>
          <w:bCs/>
          <w:color w:val="434343"/>
          <w:sz w:val="21"/>
          <w:szCs w:val="21"/>
        </w:rPr>
        <w:t xml:space="preserve"> (далі – Банк)</w:t>
      </w:r>
      <w:r>
        <w:rPr>
          <w:rFonts w:ascii="Century Gothic" w:eastAsia="Times New Roman" w:hAnsi="Century Gothic"/>
          <w:bCs/>
          <w:color w:val="434343"/>
          <w:sz w:val="21"/>
          <w:szCs w:val="21"/>
        </w:rPr>
        <w:t>.</w:t>
      </w:r>
    </w:p>
    <w:p w14:paraId="259D38CE" w14:textId="3406586A" w:rsidR="00183688" w:rsidRPr="00556201" w:rsidRDefault="00183688" w:rsidP="00AB2CF4">
      <w:pPr>
        <w:spacing w:before="100" w:beforeAutospacing="1" w:after="100" w:afterAutospacing="1"/>
        <w:ind w:left="30" w:right="142"/>
        <w:rPr>
          <w:rFonts w:ascii="Century Gothic" w:eastAsia="Times New Roman" w:hAnsi="Century Gothic"/>
          <w:color w:val="434343"/>
          <w:sz w:val="21"/>
          <w:szCs w:val="21"/>
        </w:rPr>
      </w:pPr>
      <w:r w:rsidRPr="00556201">
        <w:rPr>
          <w:rFonts w:ascii="Century Gothic" w:eastAsia="Times New Roman" w:hAnsi="Century Gothic"/>
          <w:b/>
          <w:bCs/>
          <w:color w:val="434343"/>
          <w:sz w:val="21"/>
          <w:szCs w:val="21"/>
        </w:rPr>
        <w:t>Перелік документів клієнта–фізичної особи</w:t>
      </w:r>
      <w:r w:rsidR="00A55924">
        <w:rPr>
          <w:rFonts w:ascii="Century Gothic" w:eastAsia="Times New Roman" w:hAnsi="Century Gothic"/>
          <w:b/>
          <w:bCs/>
          <w:color w:val="434343"/>
          <w:sz w:val="21"/>
          <w:szCs w:val="21"/>
        </w:rPr>
        <w:t>-резидента</w:t>
      </w:r>
      <w:r w:rsidRPr="00556201">
        <w:rPr>
          <w:rFonts w:ascii="Century Gothic" w:eastAsia="Times New Roman" w:hAnsi="Century Gothic"/>
          <w:b/>
          <w:bCs/>
          <w:color w:val="434343"/>
          <w:sz w:val="21"/>
          <w:szCs w:val="21"/>
        </w:rPr>
        <w:t xml:space="preserve"> для </w:t>
      </w:r>
      <w:r w:rsidR="007A57A1">
        <w:rPr>
          <w:rFonts w:ascii="Century Gothic" w:eastAsia="Times New Roman" w:hAnsi="Century Gothic"/>
          <w:b/>
          <w:bCs/>
          <w:color w:val="434343"/>
          <w:sz w:val="21"/>
          <w:szCs w:val="21"/>
        </w:rPr>
        <w:t>переказу іноземної валюти</w:t>
      </w:r>
      <w:r>
        <w:rPr>
          <w:rFonts w:ascii="Century Gothic" w:eastAsia="Times New Roman" w:hAnsi="Century Gothic"/>
          <w:b/>
          <w:bCs/>
          <w:color w:val="434343"/>
          <w:sz w:val="21"/>
          <w:szCs w:val="21"/>
        </w:rPr>
        <w:t xml:space="preserve"> за кордон </w:t>
      </w:r>
      <w:r w:rsidR="00A55924">
        <w:rPr>
          <w:rFonts w:ascii="Century Gothic" w:eastAsia="Times New Roman" w:hAnsi="Century Gothic"/>
          <w:b/>
          <w:bCs/>
          <w:color w:val="434343"/>
          <w:sz w:val="21"/>
          <w:szCs w:val="21"/>
        </w:rPr>
        <w:t xml:space="preserve">за </w:t>
      </w:r>
      <w:r w:rsidR="00F96B88">
        <w:rPr>
          <w:rFonts w:ascii="Century Gothic" w:eastAsia="Times New Roman" w:hAnsi="Century Gothic"/>
          <w:b/>
          <w:bCs/>
          <w:color w:val="434343"/>
          <w:sz w:val="21"/>
          <w:szCs w:val="21"/>
        </w:rPr>
        <w:t xml:space="preserve">валютними </w:t>
      </w:r>
      <w:r w:rsidR="00A55924">
        <w:rPr>
          <w:rFonts w:ascii="Century Gothic" w:eastAsia="Times New Roman" w:hAnsi="Century Gothic"/>
          <w:b/>
          <w:bCs/>
          <w:color w:val="434343"/>
          <w:sz w:val="21"/>
          <w:szCs w:val="21"/>
        </w:rPr>
        <w:t xml:space="preserve">операціями, на які поширюється </w:t>
      </w:r>
      <w:r w:rsidR="007C7852">
        <w:rPr>
          <w:rFonts w:ascii="Century Gothic" w:eastAsia="Times New Roman" w:hAnsi="Century Gothic"/>
          <w:b/>
          <w:bCs/>
          <w:color w:val="434343"/>
          <w:sz w:val="21"/>
          <w:szCs w:val="21"/>
        </w:rPr>
        <w:t>Е</w:t>
      </w:r>
      <w:r w:rsidR="005B1D0C">
        <w:rPr>
          <w:rFonts w:ascii="Century Gothic" w:eastAsia="Times New Roman" w:hAnsi="Century Gothic"/>
          <w:b/>
          <w:bCs/>
          <w:color w:val="434343"/>
          <w:sz w:val="21"/>
          <w:szCs w:val="21"/>
        </w:rPr>
        <w:t>-</w:t>
      </w:r>
      <w:r w:rsidR="00A55924">
        <w:rPr>
          <w:rFonts w:ascii="Century Gothic" w:eastAsia="Times New Roman" w:hAnsi="Century Gothic"/>
          <w:b/>
          <w:bCs/>
          <w:color w:val="434343"/>
          <w:sz w:val="21"/>
          <w:szCs w:val="21"/>
        </w:rPr>
        <w:t>ліміт,</w:t>
      </w:r>
      <w:r w:rsidRPr="00556201">
        <w:rPr>
          <w:rFonts w:ascii="Century Gothic" w:eastAsia="Times New Roman" w:hAnsi="Century Gothic"/>
          <w:b/>
          <w:bCs/>
          <w:color w:val="434343"/>
          <w:sz w:val="21"/>
          <w:szCs w:val="21"/>
        </w:rPr>
        <w:t xml:space="preserve"> при зверненні до </w:t>
      </w:r>
      <w:hyperlink r:id="rId12" w:tgtFrame="_blank" w:history="1">
        <w:r w:rsidRPr="00556201">
          <w:rPr>
            <w:rFonts w:ascii="Century Gothic" w:eastAsia="Times New Roman" w:hAnsi="Century Gothic"/>
            <w:b/>
            <w:bCs/>
            <w:color w:val="434343"/>
            <w:sz w:val="21"/>
            <w:szCs w:val="21"/>
          </w:rPr>
          <w:t xml:space="preserve">відділення </w:t>
        </w:r>
        <w:r w:rsidR="0061372A">
          <w:rPr>
            <w:rFonts w:ascii="Century Gothic" w:eastAsia="Times New Roman" w:hAnsi="Century Gothic"/>
            <w:b/>
            <w:bCs/>
            <w:color w:val="434343"/>
            <w:sz w:val="21"/>
            <w:szCs w:val="21"/>
          </w:rPr>
          <w:t>Банку</w:t>
        </w:r>
      </w:hyperlink>
      <w:r w:rsidRPr="00556201">
        <w:rPr>
          <w:rFonts w:ascii="Century Gothic" w:eastAsia="Times New Roman" w:hAnsi="Century Gothic"/>
          <w:b/>
          <w:bCs/>
          <w:color w:val="434343"/>
          <w:sz w:val="21"/>
          <w:szCs w:val="21"/>
        </w:rPr>
        <w:t>:</w:t>
      </w:r>
    </w:p>
    <w:p w14:paraId="1B98EBE3" w14:textId="784B7FFA" w:rsidR="00183688" w:rsidRDefault="00183688" w:rsidP="00A55924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before="100" w:beforeAutospacing="1" w:after="75" w:line="240" w:lineRule="auto"/>
        <w:ind w:right="142"/>
        <w:rPr>
          <w:rFonts w:ascii="Century Gothic" w:eastAsia="Times New Roman" w:hAnsi="Century Gothic"/>
          <w:sz w:val="21"/>
          <w:szCs w:val="21"/>
        </w:rPr>
      </w:pPr>
      <w:r w:rsidRPr="00C63A1A">
        <w:rPr>
          <w:rFonts w:ascii="Century Gothic" w:eastAsia="Times New Roman" w:hAnsi="Century Gothic"/>
          <w:sz w:val="21"/>
          <w:szCs w:val="21"/>
        </w:rPr>
        <w:lastRenderedPageBreak/>
        <w:t xml:space="preserve">Заява до </w:t>
      </w:r>
      <w:r w:rsidR="0061372A" w:rsidRPr="00C63A1A">
        <w:rPr>
          <w:rFonts w:ascii="Century Gothic" w:eastAsia="Times New Roman" w:hAnsi="Century Gothic"/>
          <w:sz w:val="21"/>
          <w:szCs w:val="21"/>
        </w:rPr>
        <w:t>Банку</w:t>
      </w:r>
      <w:r w:rsidR="00EB43EC" w:rsidRPr="00C63A1A">
        <w:rPr>
          <w:rFonts w:ascii="Century Gothic" w:eastAsia="Times New Roman" w:hAnsi="Century Gothic"/>
          <w:sz w:val="21"/>
          <w:szCs w:val="21"/>
        </w:rPr>
        <w:t xml:space="preserve"> </w:t>
      </w:r>
      <w:r w:rsidR="007A57A1">
        <w:rPr>
          <w:rFonts w:ascii="Century Gothic" w:eastAsia="Times New Roman" w:hAnsi="Century Gothic"/>
          <w:sz w:val="21"/>
          <w:szCs w:val="21"/>
        </w:rPr>
        <w:t xml:space="preserve"> </w:t>
      </w:r>
      <w:r w:rsidR="007A57A1" w:rsidRPr="007A57A1">
        <w:rPr>
          <w:rFonts w:ascii="Century Gothic" w:eastAsia="Times New Roman" w:hAnsi="Century Gothic"/>
          <w:sz w:val="21"/>
          <w:szCs w:val="21"/>
        </w:rPr>
        <w:t>про здійснення</w:t>
      </w:r>
      <w:r w:rsidR="00162CC9">
        <w:rPr>
          <w:rFonts w:ascii="Century Gothic" w:eastAsia="Times New Roman" w:hAnsi="Century Gothic"/>
          <w:sz w:val="21"/>
          <w:szCs w:val="21"/>
        </w:rPr>
        <w:t xml:space="preserve"> </w:t>
      </w:r>
      <w:r w:rsidR="007A57A1" w:rsidRPr="007A57A1">
        <w:rPr>
          <w:rFonts w:ascii="Century Gothic" w:eastAsia="Times New Roman" w:hAnsi="Century Gothic"/>
          <w:sz w:val="21"/>
          <w:szCs w:val="21"/>
        </w:rPr>
        <w:t>переказу іноземної валюти</w:t>
      </w:r>
      <w:r w:rsidR="005B1D0C">
        <w:rPr>
          <w:rFonts w:ascii="Century Gothic" w:eastAsia="Times New Roman" w:hAnsi="Century Gothic"/>
          <w:sz w:val="21"/>
          <w:szCs w:val="21"/>
        </w:rPr>
        <w:t xml:space="preserve"> </w:t>
      </w:r>
      <w:r w:rsidR="007A57A1" w:rsidRPr="007A57A1">
        <w:rPr>
          <w:rFonts w:ascii="Century Gothic" w:eastAsia="Times New Roman" w:hAnsi="Century Gothic"/>
          <w:sz w:val="21"/>
          <w:szCs w:val="21"/>
        </w:rPr>
        <w:t xml:space="preserve">за кордон </w:t>
      </w:r>
      <w:r w:rsidR="00A55924">
        <w:rPr>
          <w:rFonts w:ascii="Century Gothic" w:eastAsia="Times New Roman" w:hAnsi="Century Gothic"/>
          <w:sz w:val="21"/>
          <w:szCs w:val="21"/>
        </w:rPr>
        <w:t xml:space="preserve">за </w:t>
      </w:r>
      <w:r w:rsidR="00F96B88">
        <w:rPr>
          <w:rFonts w:ascii="Century Gothic" w:eastAsia="Times New Roman" w:hAnsi="Century Gothic"/>
          <w:sz w:val="21"/>
          <w:szCs w:val="21"/>
        </w:rPr>
        <w:t xml:space="preserve">валютною </w:t>
      </w:r>
      <w:r w:rsidR="00A55924">
        <w:rPr>
          <w:rFonts w:ascii="Century Gothic" w:eastAsia="Times New Roman" w:hAnsi="Century Gothic"/>
          <w:sz w:val="21"/>
          <w:szCs w:val="21"/>
        </w:rPr>
        <w:t xml:space="preserve">операцією, на яку поширюється </w:t>
      </w:r>
      <w:r w:rsidR="007C7852">
        <w:rPr>
          <w:rFonts w:ascii="Century Gothic" w:eastAsia="Times New Roman" w:hAnsi="Century Gothic"/>
          <w:sz w:val="21"/>
          <w:szCs w:val="21"/>
        </w:rPr>
        <w:t>Е</w:t>
      </w:r>
      <w:r w:rsidR="005B1D0C">
        <w:rPr>
          <w:rFonts w:ascii="Century Gothic" w:eastAsia="Times New Roman" w:hAnsi="Century Gothic"/>
          <w:sz w:val="21"/>
          <w:szCs w:val="21"/>
        </w:rPr>
        <w:t>-</w:t>
      </w:r>
      <w:r w:rsidR="00A55924">
        <w:rPr>
          <w:rFonts w:ascii="Century Gothic" w:eastAsia="Times New Roman" w:hAnsi="Century Gothic"/>
          <w:sz w:val="21"/>
          <w:szCs w:val="21"/>
        </w:rPr>
        <w:t>ліміт,</w:t>
      </w:r>
      <w:r w:rsidR="00EB43EC">
        <w:rPr>
          <w:rFonts w:ascii="Century Gothic" w:eastAsia="Times New Roman" w:hAnsi="Century Gothic"/>
          <w:sz w:val="21"/>
          <w:szCs w:val="21"/>
        </w:rPr>
        <w:t xml:space="preserve"> (далі – Заява)</w:t>
      </w:r>
      <w:r w:rsidR="0004027B">
        <w:rPr>
          <w:rFonts w:ascii="Century Gothic" w:eastAsia="Times New Roman" w:hAnsi="Century Gothic"/>
          <w:sz w:val="21"/>
          <w:szCs w:val="21"/>
        </w:rPr>
        <w:t xml:space="preserve"> засвідчена</w:t>
      </w:r>
      <w:r w:rsidR="0004027B" w:rsidRPr="00DE6CC2">
        <w:rPr>
          <w:rFonts w:ascii="Century Gothic" w:eastAsia="Times New Roman" w:hAnsi="Century Gothic"/>
          <w:sz w:val="21"/>
          <w:szCs w:val="21"/>
        </w:rPr>
        <w:t xml:space="preserve"> підписом фізичної особи</w:t>
      </w:r>
      <w:r w:rsidR="00157445">
        <w:rPr>
          <w:rFonts w:ascii="Century Gothic" w:eastAsia="Times New Roman" w:hAnsi="Century Gothic"/>
          <w:sz w:val="21"/>
          <w:szCs w:val="21"/>
        </w:rPr>
        <w:t>-резидента</w:t>
      </w:r>
      <w:r w:rsidR="007A57A1" w:rsidRPr="007A57A1">
        <w:rPr>
          <w:rFonts w:ascii="Century Gothic" w:eastAsia="Times New Roman" w:hAnsi="Century Gothic"/>
          <w:sz w:val="21"/>
          <w:szCs w:val="21"/>
        </w:rPr>
        <w:t xml:space="preserve"> </w:t>
      </w:r>
      <w:r w:rsidR="00BB66CB">
        <w:rPr>
          <w:rFonts w:ascii="Century Gothic" w:eastAsia="Times New Roman" w:hAnsi="Century Gothic"/>
          <w:sz w:val="21"/>
          <w:szCs w:val="21"/>
        </w:rPr>
        <w:t xml:space="preserve">(ініціатора </w:t>
      </w:r>
      <w:r w:rsidR="00A55924">
        <w:rPr>
          <w:rFonts w:ascii="Century Gothic" w:eastAsia="Times New Roman" w:hAnsi="Century Gothic"/>
          <w:sz w:val="21"/>
          <w:szCs w:val="21"/>
        </w:rPr>
        <w:t>в</w:t>
      </w:r>
      <w:r w:rsidR="00F64B4D">
        <w:rPr>
          <w:rFonts w:ascii="Century Gothic" w:eastAsia="Times New Roman" w:hAnsi="Century Gothic"/>
          <w:sz w:val="21"/>
          <w:szCs w:val="21"/>
        </w:rPr>
        <w:t>алютної операції</w:t>
      </w:r>
      <w:r w:rsidRPr="00DE6CC2">
        <w:rPr>
          <w:rFonts w:ascii="Century Gothic" w:eastAsia="Times New Roman" w:hAnsi="Century Gothic"/>
          <w:sz w:val="21"/>
          <w:szCs w:val="21"/>
        </w:rPr>
        <w:t>);</w:t>
      </w:r>
    </w:p>
    <w:p w14:paraId="255E040F" w14:textId="5C0706C6" w:rsidR="00183688" w:rsidRPr="00DE6CC2" w:rsidRDefault="00183688" w:rsidP="00EE4FD1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before="100" w:beforeAutospacing="1" w:after="75" w:line="240" w:lineRule="auto"/>
        <w:ind w:left="142" w:right="142" w:firstLine="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>Документи (інформаці</w:t>
      </w:r>
      <w:r w:rsidR="00A55924">
        <w:rPr>
          <w:rFonts w:ascii="Century Gothic" w:eastAsia="Times New Roman" w:hAnsi="Century Gothic"/>
          <w:sz w:val="21"/>
          <w:szCs w:val="21"/>
        </w:rPr>
        <w:t>я</w:t>
      </w:r>
      <w:r w:rsidRPr="00DE6CC2">
        <w:rPr>
          <w:rFonts w:ascii="Century Gothic" w:eastAsia="Times New Roman" w:hAnsi="Century Gothic"/>
          <w:sz w:val="21"/>
          <w:szCs w:val="21"/>
        </w:rPr>
        <w:t xml:space="preserve">), </w:t>
      </w:r>
      <w:r w:rsidR="00F96B88">
        <w:rPr>
          <w:rFonts w:ascii="Century Gothic" w:eastAsia="Times New Roman" w:hAnsi="Century Gothic"/>
          <w:sz w:val="21"/>
          <w:szCs w:val="21"/>
        </w:rPr>
        <w:t>щодо визначення фінансового стану</w:t>
      </w:r>
      <w:r w:rsidR="000052A3">
        <w:rPr>
          <w:rFonts w:ascii="Century Gothic" w:eastAsia="Times New Roman" w:hAnsi="Century Gothic"/>
          <w:sz w:val="21"/>
          <w:szCs w:val="21"/>
        </w:rPr>
        <w:t xml:space="preserve">, </w:t>
      </w:r>
      <w:r w:rsidR="006F0181">
        <w:rPr>
          <w:rFonts w:ascii="Century Gothic" w:eastAsia="Times New Roman" w:hAnsi="Century Gothic"/>
          <w:sz w:val="21"/>
          <w:szCs w:val="21"/>
        </w:rPr>
        <w:t xml:space="preserve">які підтверджують фінансові можливості/джерела походження коштів </w:t>
      </w:r>
      <w:r w:rsidRPr="00DE6CC2">
        <w:rPr>
          <w:rFonts w:ascii="Century Gothic" w:eastAsia="Times New Roman" w:hAnsi="Century Gothic"/>
          <w:sz w:val="21"/>
          <w:szCs w:val="21"/>
        </w:rPr>
        <w:t>Клієнта</w:t>
      </w:r>
      <w:r w:rsidR="00D17B67" w:rsidRPr="00E64D3F">
        <w:rPr>
          <w:rFonts w:ascii="Century Gothic" w:eastAsia="Times New Roman" w:hAnsi="Century Gothic"/>
          <w:sz w:val="21"/>
          <w:szCs w:val="21"/>
        </w:rPr>
        <w:t xml:space="preserve"> </w:t>
      </w:r>
      <w:r w:rsidRPr="00DE6CC2">
        <w:rPr>
          <w:rFonts w:ascii="Century Gothic" w:eastAsia="Times New Roman" w:hAnsi="Century Gothic"/>
          <w:sz w:val="21"/>
          <w:szCs w:val="21"/>
        </w:rPr>
        <w:t>(</w:t>
      </w:r>
      <w:r w:rsidR="00E64D3F">
        <w:rPr>
          <w:rFonts w:ascii="Century Gothic" w:eastAsia="Times New Roman" w:hAnsi="Century Gothic"/>
          <w:sz w:val="21"/>
          <w:szCs w:val="21"/>
        </w:rPr>
        <w:t xml:space="preserve">ініціатора </w:t>
      </w:r>
      <w:r w:rsidR="00A55924">
        <w:rPr>
          <w:rFonts w:ascii="Century Gothic" w:eastAsia="Times New Roman" w:hAnsi="Century Gothic"/>
          <w:sz w:val="21"/>
          <w:szCs w:val="21"/>
        </w:rPr>
        <w:t>в</w:t>
      </w:r>
      <w:r w:rsidR="00E64D3F">
        <w:rPr>
          <w:rFonts w:ascii="Century Gothic" w:eastAsia="Times New Roman" w:hAnsi="Century Gothic"/>
          <w:sz w:val="21"/>
          <w:szCs w:val="21"/>
        </w:rPr>
        <w:t>алютної операції</w:t>
      </w:r>
      <w:r w:rsidRPr="00DE6CC2">
        <w:rPr>
          <w:rFonts w:ascii="Century Gothic" w:eastAsia="Times New Roman" w:hAnsi="Century Gothic"/>
          <w:sz w:val="21"/>
          <w:szCs w:val="21"/>
        </w:rPr>
        <w:t>)</w:t>
      </w:r>
      <w:r w:rsidRPr="006A7787">
        <w:rPr>
          <w:rFonts w:ascii="Century Gothic" w:eastAsia="Times New Roman" w:hAnsi="Century Gothic"/>
          <w:sz w:val="21"/>
          <w:szCs w:val="21"/>
        </w:rPr>
        <w:t>.</w:t>
      </w:r>
      <w:r w:rsidRPr="00DE6CC2">
        <w:rPr>
          <w:rFonts w:ascii="Century Gothic" w:eastAsia="Times New Roman" w:hAnsi="Century Gothic"/>
          <w:sz w:val="21"/>
          <w:szCs w:val="21"/>
        </w:rPr>
        <w:t xml:space="preserve"> Такими документами (інформацією)  можуть бути:</w:t>
      </w:r>
    </w:p>
    <w:p w14:paraId="22CE6774" w14:textId="540276AB" w:rsidR="00183688" w:rsidRPr="00C63A1A" w:rsidRDefault="00183688" w:rsidP="00EE4FD1">
      <w:pPr>
        <w:pStyle w:val="a3"/>
        <w:numPr>
          <w:ilvl w:val="0"/>
          <w:numId w:val="4"/>
        </w:numPr>
        <w:tabs>
          <w:tab w:val="num" w:pos="284"/>
        </w:tabs>
        <w:spacing w:before="100" w:beforeAutospacing="1" w:after="75" w:line="240" w:lineRule="auto"/>
        <w:ind w:left="142" w:right="142" w:firstLine="360"/>
        <w:rPr>
          <w:rFonts w:ascii="Century Gothic" w:eastAsia="Times New Roman" w:hAnsi="Century Gothic"/>
          <w:sz w:val="21"/>
          <w:szCs w:val="21"/>
        </w:rPr>
      </w:pPr>
      <w:r w:rsidRPr="00C63A1A">
        <w:rPr>
          <w:rFonts w:ascii="Century Gothic" w:eastAsia="Times New Roman" w:hAnsi="Century Gothic"/>
          <w:sz w:val="21"/>
          <w:szCs w:val="21"/>
        </w:rPr>
        <w:t xml:space="preserve">декларації про майновий стан і доходи з відміткою контролюючого органу України про її отримання. Форма податкової декларації про майновий стан і доходи, а також </w:t>
      </w:r>
      <w:r w:rsidR="00D043F9">
        <w:rPr>
          <w:rFonts w:ascii="Century Gothic" w:eastAsia="Times New Roman" w:hAnsi="Century Gothic"/>
          <w:sz w:val="21"/>
          <w:szCs w:val="21"/>
        </w:rPr>
        <w:t>І</w:t>
      </w:r>
      <w:r w:rsidR="00D043F9" w:rsidRPr="00C63A1A">
        <w:rPr>
          <w:rFonts w:ascii="Century Gothic" w:eastAsia="Times New Roman" w:hAnsi="Century Gothic"/>
          <w:sz w:val="21"/>
          <w:szCs w:val="21"/>
        </w:rPr>
        <w:t xml:space="preserve">нструкція </w:t>
      </w:r>
      <w:r w:rsidRPr="00C63A1A">
        <w:rPr>
          <w:rFonts w:ascii="Century Gothic" w:eastAsia="Times New Roman" w:hAnsi="Century Gothic"/>
          <w:sz w:val="21"/>
          <w:szCs w:val="21"/>
        </w:rPr>
        <w:t>щодо заповнення податкової декларації про майновий стан і доходи</w:t>
      </w:r>
      <w:r w:rsidR="00D043F9">
        <w:rPr>
          <w:rFonts w:ascii="Century Gothic" w:eastAsia="Times New Roman" w:hAnsi="Century Gothic"/>
          <w:sz w:val="21"/>
          <w:szCs w:val="21"/>
        </w:rPr>
        <w:t>,</w:t>
      </w:r>
      <w:r w:rsidRPr="00C63A1A">
        <w:rPr>
          <w:rFonts w:ascii="Century Gothic" w:eastAsia="Times New Roman" w:hAnsi="Century Gothic"/>
          <w:sz w:val="21"/>
          <w:szCs w:val="21"/>
        </w:rPr>
        <w:t xml:space="preserve"> затверджені Наказом Міністерства фінансів України від 02.10.2015 р. N 859 (у редакції наказу Міністерства фінансів України від 15.09.2016 N 821);</w:t>
      </w:r>
    </w:p>
    <w:p w14:paraId="636382DD" w14:textId="11AF4033" w:rsidR="00183688" w:rsidRDefault="00183688" w:rsidP="00AB2CF4">
      <w:pPr>
        <w:pStyle w:val="a3"/>
        <w:numPr>
          <w:ilvl w:val="0"/>
          <w:numId w:val="4"/>
        </w:numPr>
        <w:tabs>
          <w:tab w:val="num" w:pos="284"/>
        </w:tabs>
        <w:spacing w:before="100" w:beforeAutospacing="1" w:after="75" w:line="240" w:lineRule="auto"/>
        <w:ind w:left="142" w:right="142" w:firstLine="36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>довідки (в</w:t>
      </w:r>
      <w:r w:rsidR="000C75FD">
        <w:rPr>
          <w:rFonts w:ascii="Century Gothic" w:eastAsia="Times New Roman" w:hAnsi="Century Gothic"/>
          <w:sz w:val="21"/>
          <w:szCs w:val="21"/>
        </w:rPr>
        <w:t xml:space="preserve">ідомості) </w:t>
      </w:r>
      <w:r w:rsidR="00D043F9">
        <w:rPr>
          <w:rFonts w:ascii="Century Gothic" w:eastAsia="Times New Roman" w:hAnsi="Century Gothic"/>
          <w:sz w:val="21"/>
          <w:szCs w:val="21"/>
        </w:rPr>
        <w:t>відповідного державного органу України</w:t>
      </w:r>
      <w:r w:rsidR="000C75FD">
        <w:rPr>
          <w:rFonts w:ascii="Century Gothic" w:eastAsia="Times New Roman" w:hAnsi="Century Gothic"/>
          <w:sz w:val="21"/>
          <w:szCs w:val="21"/>
        </w:rPr>
        <w:t xml:space="preserve"> </w:t>
      </w:r>
      <w:r w:rsidRPr="00DE6CC2">
        <w:rPr>
          <w:rFonts w:ascii="Century Gothic" w:eastAsia="Times New Roman" w:hAnsi="Century Gothic"/>
          <w:sz w:val="21"/>
          <w:szCs w:val="21"/>
        </w:rPr>
        <w:t>про суми виплачених Клієнту (</w:t>
      </w:r>
      <w:r w:rsidR="00E64D3F">
        <w:rPr>
          <w:rFonts w:ascii="Century Gothic" w:eastAsia="Times New Roman" w:hAnsi="Century Gothic"/>
          <w:sz w:val="21"/>
          <w:szCs w:val="21"/>
        </w:rPr>
        <w:t>ініціатору Валютної операції</w:t>
      </w:r>
      <w:r w:rsidRPr="00DE6CC2">
        <w:rPr>
          <w:rFonts w:ascii="Century Gothic" w:eastAsia="Times New Roman" w:hAnsi="Century Gothic"/>
          <w:sz w:val="21"/>
          <w:szCs w:val="21"/>
        </w:rPr>
        <w:t xml:space="preserve">) доходів та сплачених податків. Дані про фізичних осіб, зокрема, про суми нарахованих та/або отриманих доходів, нарахованих та/або сплачених податків містяться в Державному реєстрі фізичних осіб - платників податків (Державний реєстр). Зразки довідок (відомостей) з Державного реєстру фізичних осіб – платників податку про суми виплачених доходів та утриманих податків з відміткою органів  Державної фіскальної служби України; </w:t>
      </w:r>
    </w:p>
    <w:p w14:paraId="0B3E9E00" w14:textId="0239F92A" w:rsidR="00340518" w:rsidRPr="00DE6CC2" w:rsidRDefault="00340518" w:rsidP="00AB2CF4">
      <w:pPr>
        <w:pStyle w:val="a3"/>
        <w:numPr>
          <w:ilvl w:val="0"/>
          <w:numId w:val="4"/>
        </w:numPr>
        <w:tabs>
          <w:tab w:val="num" w:pos="284"/>
        </w:tabs>
        <w:spacing w:before="100" w:beforeAutospacing="1" w:after="75" w:line="240" w:lineRule="auto"/>
        <w:ind w:left="142" w:right="142" w:firstLine="360"/>
        <w:rPr>
          <w:rFonts w:ascii="Century Gothic" w:eastAsia="Times New Roman" w:hAnsi="Century Gothic"/>
          <w:sz w:val="21"/>
          <w:szCs w:val="21"/>
        </w:rPr>
      </w:pPr>
      <w:r>
        <w:rPr>
          <w:rFonts w:ascii="Century Gothic" w:eastAsia="Times New Roman" w:hAnsi="Century Gothic"/>
          <w:sz w:val="21"/>
          <w:szCs w:val="21"/>
        </w:rPr>
        <w:t>декларація про майно, доходи, витрати і зобов</w:t>
      </w:r>
      <w:r w:rsidRPr="006548DB">
        <w:rPr>
          <w:rFonts w:ascii="Century Gothic" w:eastAsia="Times New Roman" w:hAnsi="Century Gothic"/>
          <w:sz w:val="21"/>
          <w:szCs w:val="21"/>
        </w:rPr>
        <w:t>’</w:t>
      </w:r>
      <w:r>
        <w:rPr>
          <w:rFonts w:ascii="Century Gothic" w:eastAsia="Times New Roman" w:hAnsi="Century Gothic"/>
          <w:sz w:val="21"/>
          <w:szCs w:val="21"/>
        </w:rPr>
        <w:t xml:space="preserve">язання фінансового характеру/декларації особи, уповноваженої на виконання функцій держави або органу місцевого самоврядування (уключаючи </w:t>
      </w:r>
      <w:r w:rsidRPr="004C1622">
        <w:rPr>
          <w:rFonts w:ascii="Century Gothic" w:eastAsia="Times New Roman" w:hAnsi="Century Gothic"/>
          <w:sz w:val="21"/>
          <w:szCs w:val="21"/>
        </w:rPr>
        <w:t>інформаці</w:t>
      </w:r>
      <w:r>
        <w:rPr>
          <w:rFonts w:ascii="Century Gothic" w:eastAsia="Times New Roman" w:hAnsi="Century Gothic"/>
          <w:sz w:val="21"/>
          <w:szCs w:val="21"/>
        </w:rPr>
        <w:t>ю,</w:t>
      </w:r>
      <w:r w:rsidRPr="006548DB">
        <w:rPr>
          <w:rFonts w:ascii="Century Gothic" w:eastAsia="Times New Roman" w:hAnsi="Century Gothic"/>
          <w:sz w:val="21"/>
          <w:szCs w:val="21"/>
        </w:rPr>
        <w:t xml:space="preserve"> </w:t>
      </w:r>
      <w:r>
        <w:rPr>
          <w:rFonts w:ascii="Century Gothic" w:eastAsia="Times New Roman" w:hAnsi="Century Gothic"/>
          <w:sz w:val="21"/>
          <w:szCs w:val="21"/>
        </w:rPr>
        <w:t xml:space="preserve">отриману з Єдиного державного реєстру декларацій осіб, уповноважених на виконання функцій держави або місцевого самоврядування, що формується та ведеться Національним агенством з питань запобігання корупції та знаходиться за посиланням </w:t>
      </w:r>
      <w:r w:rsidRPr="00DE6CC2">
        <w:rPr>
          <w:rFonts w:ascii="Century Gothic" w:eastAsia="Times New Roman" w:hAnsi="Century Gothic"/>
          <w:sz w:val="21"/>
          <w:szCs w:val="21"/>
        </w:rPr>
        <w:t>https://public.nazk.gov.ua</w:t>
      </w:r>
      <w:r>
        <w:rPr>
          <w:rFonts w:ascii="Century Gothic" w:eastAsia="Times New Roman" w:hAnsi="Century Gothic"/>
          <w:sz w:val="21"/>
          <w:szCs w:val="21"/>
        </w:rPr>
        <w:t xml:space="preserve"> </w:t>
      </w:r>
      <w:r w:rsidRPr="00DE6CC2">
        <w:rPr>
          <w:rFonts w:ascii="Century Gothic" w:eastAsia="Times New Roman" w:hAnsi="Century Gothic"/>
          <w:sz w:val="21"/>
          <w:szCs w:val="21"/>
        </w:rPr>
        <w:t>(подається у роздрукованому вигляді, засвідченої підписом Клієнта</w:t>
      </w:r>
      <w:r>
        <w:rPr>
          <w:rFonts w:ascii="Century Gothic" w:eastAsia="Times New Roman" w:hAnsi="Century Gothic"/>
          <w:sz w:val="21"/>
          <w:szCs w:val="21"/>
        </w:rPr>
        <w:t xml:space="preserve"> </w:t>
      </w:r>
      <w:r w:rsidRPr="00DE6CC2">
        <w:rPr>
          <w:rFonts w:ascii="Century Gothic" w:eastAsia="Times New Roman" w:hAnsi="Century Gothic"/>
          <w:sz w:val="21"/>
          <w:szCs w:val="21"/>
        </w:rPr>
        <w:t>(</w:t>
      </w:r>
      <w:r>
        <w:rPr>
          <w:rFonts w:ascii="Century Gothic" w:eastAsia="Times New Roman" w:hAnsi="Century Gothic"/>
          <w:sz w:val="21"/>
          <w:szCs w:val="21"/>
        </w:rPr>
        <w:t>ініціатора валютної операції</w:t>
      </w:r>
      <w:r w:rsidRPr="00DE6CC2">
        <w:rPr>
          <w:rFonts w:ascii="Century Gothic" w:eastAsia="Times New Roman" w:hAnsi="Century Gothic"/>
          <w:sz w:val="21"/>
          <w:szCs w:val="21"/>
        </w:rPr>
        <w:t>))</w:t>
      </w:r>
      <w:r w:rsidR="000052A3">
        <w:rPr>
          <w:rFonts w:ascii="Century Gothic" w:eastAsia="Times New Roman" w:hAnsi="Century Gothic"/>
          <w:sz w:val="21"/>
          <w:szCs w:val="21"/>
        </w:rPr>
        <w:t>;</w:t>
      </w:r>
    </w:p>
    <w:p w14:paraId="4D0B97A6" w14:textId="5DD8BC56" w:rsidR="00183688" w:rsidRPr="00DE6CC2" w:rsidRDefault="00183688" w:rsidP="00F21037">
      <w:pPr>
        <w:pStyle w:val="a3"/>
        <w:numPr>
          <w:ilvl w:val="0"/>
          <w:numId w:val="4"/>
        </w:numPr>
        <w:tabs>
          <w:tab w:val="clear" w:pos="228"/>
          <w:tab w:val="num" w:pos="284"/>
          <w:tab w:val="num" w:pos="370"/>
        </w:tabs>
        <w:spacing w:before="100" w:beforeAutospacing="1" w:after="75" w:line="240" w:lineRule="auto"/>
        <w:ind w:left="142" w:right="0" w:firstLine="36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 xml:space="preserve">довідка про виплачену заробітну плату/соціальну допомогу, видана роботодавцем або </w:t>
      </w:r>
      <w:r w:rsidR="00AB2CF4">
        <w:rPr>
          <w:rFonts w:ascii="Century Gothic" w:eastAsia="Times New Roman" w:hAnsi="Century Gothic"/>
          <w:sz w:val="21"/>
          <w:szCs w:val="21"/>
        </w:rPr>
        <w:t xml:space="preserve"> </w:t>
      </w:r>
      <w:r w:rsidR="00340518">
        <w:rPr>
          <w:rFonts w:ascii="Century Gothic" w:eastAsia="Times New Roman" w:hAnsi="Century Gothic"/>
          <w:sz w:val="21"/>
          <w:szCs w:val="21"/>
        </w:rPr>
        <w:t xml:space="preserve">  </w:t>
      </w:r>
      <w:r w:rsidRPr="00DE6CC2">
        <w:rPr>
          <w:rFonts w:ascii="Century Gothic" w:eastAsia="Times New Roman" w:hAnsi="Century Gothic"/>
          <w:sz w:val="21"/>
          <w:szCs w:val="21"/>
        </w:rPr>
        <w:t>виписка з рахунку про зарахування заробітної плати/соціальної допомоги, якщо рахунок</w:t>
      </w:r>
      <w:r w:rsidR="006F0181">
        <w:rPr>
          <w:rFonts w:ascii="Century Gothic" w:eastAsia="Times New Roman" w:hAnsi="Century Gothic"/>
          <w:sz w:val="21"/>
          <w:szCs w:val="21"/>
        </w:rPr>
        <w:t>,</w:t>
      </w:r>
      <w:r w:rsidRPr="00DE6CC2">
        <w:rPr>
          <w:rFonts w:ascii="Century Gothic" w:eastAsia="Times New Roman" w:hAnsi="Century Gothic"/>
          <w:sz w:val="21"/>
          <w:szCs w:val="21"/>
        </w:rPr>
        <w:t xml:space="preserve"> відкритий в Банку в рамках зарплатного проекту або для отримання соціальної допомоги;</w:t>
      </w:r>
    </w:p>
    <w:p w14:paraId="50C594D8" w14:textId="6EEE607B" w:rsidR="00183688" w:rsidRPr="00DE6CC2" w:rsidRDefault="00183688" w:rsidP="00F21037">
      <w:pPr>
        <w:pStyle w:val="a3"/>
        <w:numPr>
          <w:ilvl w:val="0"/>
          <w:numId w:val="4"/>
        </w:numPr>
        <w:tabs>
          <w:tab w:val="clear" w:pos="228"/>
          <w:tab w:val="num" w:pos="284"/>
          <w:tab w:val="num" w:pos="370"/>
        </w:tabs>
        <w:spacing w:before="100" w:beforeAutospacing="1" w:after="75" w:line="240" w:lineRule="auto"/>
        <w:ind w:left="142" w:right="0" w:firstLine="36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>довідка про виплачену пенсію, видана Пенсійним фондом України або виписка з рахунку про зарахування пенсії, якщо рахунок</w:t>
      </w:r>
      <w:r w:rsidR="006F0181">
        <w:rPr>
          <w:rFonts w:ascii="Century Gothic" w:eastAsia="Times New Roman" w:hAnsi="Century Gothic"/>
          <w:sz w:val="21"/>
          <w:szCs w:val="21"/>
        </w:rPr>
        <w:t>,</w:t>
      </w:r>
      <w:r w:rsidRPr="00DE6CC2">
        <w:rPr>
          <w:rFonts w:ascii="Century Gothic" w:eastAsia="Times New Roman" w:hAnsi="Century Gothic"/>
          <w:sz w:val="21"/>
          <w:szCs w:val="21"/>
        </w:rPr>
        <w:t xml:space="preserve"> відкритий в  Банку для отримання пенсії/соціальної допомоги;</w:t>
      </w:r>
    </w:p>
    <w:p w14:paraId="46EBFEA1" w14:textId="5114C465" w:rsidR="00183688" w:rsidRPr="00DE6CC2" w:rsidRDefault="00183688" w:rsidP="00F21037">
      <w:pPr>
        <w:pStyle w:val="a3"/>
        <w:numPr>
          <w:ilvl w:val="0"/>
          <w:numId w:val="4"/>
        </w:numPr>
        <w:tabs>
          <w:tab w:val="clear" w:pos="228"/>
          <w:tab w:val="num" w:pos="284"/>
          <w:tab w:val="num" w:pos="370"/>
        </w:tabs>
        <w:spacing w:before="100" w:beforeAutospacing="1" w:after="75" w:line="240" w:lineRule="auto"/>
        <w:ind w:left="142" w:right="0" w:firstLine="36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>цивільно-правовий договір в якому чітко визначена суму (ціна договору), що підлягає виплаті;</w:t>
      </w:r>
    </w:p>
    <w:p w14:paraId="6694505C" w14:textId="77777777" w:rsidR="00183688" w:rsidRPr="00DE6CC2" w:rsidRDefault="00183688" w:rsidP="00F21037">
      <w:pPr>
        <w:pStyle w:val="a3"/>
        <w:numPr>
          <w:ilvl w:val="0"/>
          <w:numId w:val="4"/>
        </w:numPr>
        <w:tabs>
          <w:tab w:val="clear" w:pos="228"/>
          <w:tab w:val="num" w:pos="284"/>
          <w:tab w:val="num" w:pos="370"/>
        </w:tabs>
        <w:spacing w:before="100" w:beforeAutospacing="1" w:after="75" w:line="240" w:lineRule="auto"/>
        <w:ind w:left="142" w:right="0" w:firstLine="36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>нотаріально посвідчена копія договору купівлі-продажу нерухомого майна;</w:t>
      </w:r>
    </w:p>
    <w:p w14:paraId="62DBCC83" w14:textId="77777777" w:rsidR="00183688" w:rsidRPr="00DE6CC2" w:rsidRDefault="00183688" w:rsidP="00F21037">
      <w:pPr>
        <w:pStyle w:val="a3"/>
        <w:numPr>
          <w:ilvl w:val="0"/>
          <w:numId w:val="4"/>
        </w:numPr>
        <w:tabs>
          <w:tab w:val="clear" w:pos="228"/>
          <w:tab w:val="num" w:pos="284"/>
          <w:tab w:val="num" w:pos="370"/>
        </w:tabs>
        <w:spacing w:before="100" w:beforeAutospacing="1" w:after="75" w:line="240" w:lineRule="auto"/>
        <w:ind w:left="142" w:right="0" w:firstLine="36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>свідоцтво про право на спадщину (його нотаріально посвідчена копія);</w:t>
      </w:r>
    </w:p>
    <w:p w14:paraId="2541976E" w14:textId="77777777" w:rsidR="00183688" w:rsidRPr="00DE6CC2" w:rsidRDefault="00183688" w:rsidP="00F21037">
      <w:pPr>
        <w:pStyle w:val="a3"/>
        <w:numPr>
          <w:ilvl w:val="0"/>
          <w:numId w:val="4"/>
        </w:numPr>
        <w:tabs>
          <w:tab w:val="clear" w:pos="228"/>
          <w:tab w:val="num" w:pos="284"/>
          <w:tab w:val="num" w:pos="370"/>
        </w:tabs>
        <w:spacing w:before="100" w:beforeAutospacing="1" w:after="75" w:line="240" w:lineRule="auto"/>
        <w:ind w:left="142" w:right="0" w:firstLine="36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>договір страхування/страховий поліс;</w:t>
      </w:r>
    </w:p>
    <w:p w14:paraId="605B28A2" w14:textId="77777777" w:rsidR="00183688" w:rsidRPr="00DE6CC2" w:rsidRDefault="00183688" w:rsidP="00F21037">
      <w:pPr>
        <w:pStyle w:val="a3"/>
        <w:numPr>
          <w:ilvl w:val="0"/>
          <w:numId w:val="4"/>
        </w:numPr>
        <w:tabs>
          <w:tab w:val="clear" w:pos="228"/>
          <w:tab w:val="num" w:pos="284"/>
          <w:tab w:val="num" w:pos="370"/>
        </w:tabs>
        <w:spacing w:before="100" w:beforeAutospacing="1" w:after="75" w:line="240" w:lineRule="auto"/>
        <w:ind w:left="142" w:right="0" w:firstLine="36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>документи, що підтверджують участь у розіграші лотереї, виграш та пред’явлення лотереї до оплати;</w:t>
      </w:r>
    </w:p>
    <w:p w14:paraId="2432A83E" w14:textId="77777777" w:rsidR="00183688" w:rsidRPr="00DE6CC2" w:rsidRDefault="00183688" w:rsidP="00F21037">
      <w:pPr>
        <w:pStyle w:val="a3"/>
        <w:numPr>
          <w:ilvl w:val="0"/>
          <w:numId w:val="4"/>
        </w:numPr>
        <w:tabs>
          <w:tab w:val="clear" w:pos="228"/>
          <w:tab w:val="num" w:pos="284"/>
          <w:tab w:val="num" w:pos="370"/>
        </w:tabs>
        <w:spacing w:before="100" w:beforeAutospacing="1" w:after="75" w:line="240" w:lineRule="auto"/>
        <w:ind w:left="142" w:right="0" w:firstLine="36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>документи, що підтверджують передачу Клієнтом скарбу поліції або органу місцевого самоврядування;</w:t>
      </w:r>
    </w:p>
    <w:p w14:paraId="466D20C0" w14:textId="77777777" w:rsidR="00183688" w:rsidRPr="00DE6CC2" w:rsidRDefault="00183688" w:rsidP="00F21037">
      <w:pPr>
        <w:pStyle w:val="a3"/>
        <w:numPr>
          <w:ilvl w:val="0"/>
          <w:numId w:val="4"/>
        </w:numPr>
        <w:tabs>
          <w:tab w:val="clear" w:pos="228"/>
          <w:tab w:val="num" w:pos="284"/>
          <w:tab w:val="num" w:pos="370"/>
        </w:tabs>
        <w:spacing w:before="100" w:beforeAutospacing="1" w:after="75" w:line="240" w:lineRule="auto"/>
        <w:ind w:left="142" w:right="0" w:firstLine="36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>договір, на підставі якого здійснюється використання та оплата за використання об’єктів авторського права;</w:t>
      </w:r>
    </w:p>
    <w:p w14:paraId="638E3180" w14:textId="77777777" w:rsidR="00183688" w:rsidRPr="00DE6CC2" w:rsidRDefault="00183688" w:rsidP="00F21037">
      <w:pPr>
        <w:pStyle w:val="a3"/>
        <w:numPr>
          <w:ilvl w:val="0"/>
          <w:numId w:val="4"/>
        </w:numPr>
        <w:tabs>
          <w:tab w:val="clear" w:pos="228"/>
          <w:tab w:val="num" w:pos="284"/>
          <w:tab w:val="num" w:pos="370"/>
        </w:tabs>
        <w:spacing w:before="100" w:beforeAutospacing="1" w:after="75" w:line="240" w:lineRule="auto"/>
        <w:ind w:left="142" w:right="0" w:firstLine="36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>свідоцтво про державну реєстрацію винаходу, корисної моделі, промислового зразку;</w:t>
      </w:r>
    </w:p>
    <w:p w14:paraId="610DEDD7" w14:textId="6BBDA14A" w:rsidR="00183688" w:rsidRPr="00DE6CC2" w:rsidRDefault="00183688" w:rsidP="00F21037">
      <w:pPr>
        <w:pStyle w:val="a3"/>
        <w:numPr>
          <w:ilvl w:val="0"/>
          <w:numId w:val="4"/>
        </w:numPr>
        <w:tabs>
          <w:tab w:val="clear" w:pos="228"/>
          <w:tab w:val="num" w:pos="284"/>
          <w:tab w:val="num" w:pos="370"/>
        </w:tabs>
        <w:spacing w:before="100" w:beforeAutospacing="1" w:after="75" w:line="240" w:lineRule="auto"/>
        <w:ind w:left="142" w:right="0" w:firstLine="36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 xml:space="preserve">касовий документ, що підтверджує отримання Клієнтом суми виплат від </w:t>
      </w:r>
      <w:r w:rsidR="002A4803">
        <w:rPr>
          <w:rFonts w:ascii="Century Gothic" w:eastAsia="Times New Roman" w:hAnsi="Century Gothic"/>
          <w:sz w:val="21"/>
          <w:szCs w:val="21"/>
        </w:rPr>
        <w:t>Ф</w:t>
      </w:r>
      <w:r w:rsidRPr="00DE6CC2">
        <w:rPr>
          <w:rFonts w:ascii="Century Gothic" w:eastAsia="Times New Roman" w:hAnsi="Century Gothic"/>
          <w:sz w:val="21"/>
          <w:szCs w:val="21"/>
        </w:rPr>
        <w:t>онду гарантування вкладів фізичних осіб(в межах до 200 000 гривень) або заява на видачу готівки (2-й примірник) – в разі зняття із свого поточного рахунку в касі Банку коштів готівкою, які були переказані Фондом гарантування вкладів фізичних осіб на поточний рахунок Клієнта або в разі отримання виплати готівкою без відкриття рахунку або виписка Банку про зарахування коштів від Фонду гарантування вкладів фізичних осіб на поточний рахунок Клієнта;</w:t>
      </w:r>
    </w:p>
    <w:p w14:paraId="6E6A31FC" w14:textId="77777777" w:rsidR="00183688" w:rsidRDefault="00183688" w:rsidP="00F21037">
      <w:pPr>
        <w:pStyle w:val="a3"/>
        <w:numPr>
          <w:ilvl w:val="0"/>
          <w:numId w:val="4"/>
        </w:numPr>
        <w:tabs>
          <w:tab w:val="clear" w:pos="228"/>
          <w:tab w:val="num" w:pos="284"/>
          <w:tab w:val="num" w:pos="370"/>
        </w:tabs>
        <w:spacing w:before="100" w:beforeAutospacing="1" w:after="75" w:line="240" w:lineRule="auto"/>
        <w:ind w:left="142" w:right="0" w:firstLine="36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>виписка з рахунку Клієнта, відкритого в Банку про зарахування суми грошових коштів, що надійшли на рахунок Клієнта за допомогою системи SWIFT;</w:t>
      </w:r>
    </w:p>
    <w:p w14:paraId="7B0C8B6D" w14:textId="77777777" w:rsidR="00183688" w:rsidRPr="00DE6CC2" w:rsidRDefault="00183688" w:rsidP="00F21037">
      <w:pPr>
        <w:pStyle w:val="a3"/>
        <w:tabs>
          <w:tab w:val="num" w:pos="284"/>
        </w:tabs>
        <w:spacing w:before="100" w:beforeAutospacing="1" w:after="75"/>
        <w:ind w:left="502"/>
        <w:rPr>
          <w:rFonts w:ascii="Century Gothic" w:eastAsia="Times New Roman" w:hAnsi="Century Gothic"/>
          <w:sz w:val="21"/>
          <w:szCs w:val="21"/>
        </w:rPr>
      </w:pPr>
    </w:p>
    <w:p w14:paraId="2B4DD09B" w14:textId="0B95BB5F" w:rsidR="00183688" w:rsidRPr="003D74DB" w:rsidRDefault="003D74DB" w:rsidP="00F21037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before="100" w:beforeAutospacing="1" w:after="75" w:line="240" w:lineRule="auto"/>
        <w:ind w:left="142" w:right="0" w:firstLine="0"/>
        <w:rPr>
          <w:rFonts w:ascii="Century Gothic" w:eastAsia="Times New Roman" w:hAnsi="Century Gothic"/>
          <w:sz w:val="21"/>
          <w:szCs w:val="21"/>
        </w:rPr>
      </w:pPr>
      <w:r>
        <w:rPr>
          <w:rFonts w:ascii="Century Gothic" w:eastAsia="Times New Roman" w:hAnsi="Century Gothic"/>
          <w:sz w:val="21"/>
          <w:szCs w:val="21"/>
        </w:rPr>
        <w:t>Підтвердні документи - о</w:t>
      </w:r>
      <w:r w:rsidR="00183688" w:rsidRPr="00E40DFB">
        <w:rPr>
          <w:rFonts w:ascii="Century Gothic" w:eastAsia="Times New Roman" w:hAnsi="Century Gothic"/>
          <w:sz w:val="21"/>
          <w:szCs w:val="21"/>
        </w:rPr>
        <w:t>ригінали</w:t>
      </w:r>
      <w:r w:rsidR="00183688" w:rsidRPr="00DE6CC2">
        <w:rPr>
          <w:rFonts w:ascii="Century Gothic" w:eastAsia="Times New Roman" w:hAnsi="Century Gothic"/>
          <w:sz w:val="21"/>
          <w:szCs w:val="21"/>
        </w:rPr>
        <w:t xml:space="preserve"> </w:t>
      </w:r>
      <w:r w:rsidR="00C63A1A">
        <w:rPr>
          <w:rFonts w:ascii="Century Gothic" w:eastAsia="Times New Roman" w:hAnsi="Century Gothic"/>
          <w:sz w:val="21"/>
          <w:szCs w:val="21"/>
        </w:rPr>
        <w:t>та/</w:t>
      </w:r>
      <w:r w:rsidR="00183688" w:rsidRPr="00DE6CC2">
        <w:rPr>
          <w:rFonts w:ascii="Century Gothic" w:eastAsia="Times New Roman" w:hAnsi="Century Gothic"/>
          <w:sz w:val="21"/>
          <w:szCs w:val="21"/>
        </w:rPr>
        <w:t>або копії документів, що підтверджують мету здійснення переказу з України (договір (контракт), рахунок (інвойс) та/або інший (і</w:t>
      </w:r>
      <w:r w:rsidR="00183688" w:rsidRPr="00C63A1A">
        <w:rPr>
          <w:rFonts w:ascii="Century Gothic" w:eastAsia="Times New Roman" w:hAnsi="Century Gothic"/>
          <w:sz w:val="21"/>
          <w:szCs w:val="21"/>
        </w:rPr>
        <w:t xml:space="preserve">) </w:t>
      </w:r>
      <w:r w:rsidR="00183688" w:rsidRPr="00DE6CC2">
        <w:rPr>
          <w:rFonts w:ascii="Century Gothic" w:eastAsia="Times New Roman" w:hAnsi="Century Gothic"/>
          <w:sz w:val="21"/>
          <w:szCs w:val="21"/>
        </w:rPr>
        <w:lastRenderedPageBreak/>
        <w:t xml:space="preserve">документ(и), що використовуються в міжнародній практиці). </w:t>
      </w:r>
      <w:r w:rsidR="00B861E8">
        <w:rPr>
          <w:rFonts w:ascii="Century Gothic" w:eastAsia="Times New Roman" w:hAnsi="Century Gothic"/>
          <w:sz w:val="21"/>
          <w:szCs w:val="21"/>
        </w:rPr>
        <w:t xml:space="preserve">За необхідності уповноважена установа має право витребувати додаткову(і) інформацію/документи. </w:t>
      </w:r>
      <w:r w:rsidR="00183688" w:rsidRPr="00DE6CC2">
        <w:rPr>
          <w:rFonts w:ascii="Century Gothic" w:eastAsia="Times New Roman" w:hAnsi="Century Gothic"/>
          <w:sz w:val="21"/>
          <w:szCs w:val="21"/>
        </w:rPr>
        <w:t xml:space="preserve">Ці документи повинні </w:t>
      </w:r>
      <w:r w:rsidR="00183688">
        <w:rPr>
          <w:rFonts w:ascii="Century Gothic" w:eastAsia="Times New Roman" w:hAnsi="Century Gothic"/>
          <w:sz w:val="21"/>
          <w:szCs w:val="21"/>
        </w:rPr>
        <w:t>містити</w:t>
      </w:r>
      <w:r w:rsidR="00157445">
        <w:rPr>
          <w:rFonts w:ascii="Century Gothic" w:eastAsia="Times New Roman" w:hAnsi="Century Gothic"/>
          <w:sz w:val="21"/>
          <w:szCs w:val="21"/>
        </w:rPr>
        <w:t>, зокрема,</w:t>
      </w:r>
      <w:r w:rsidR="00183688">
        <w:rPr>
          <w:rFonts w:ascii="Century Gothic" w:eastAsia="Times New Roman" w:hAnsi="Century Gothic"/>
          <w:sz w:val="21"/>
          <w:szCs w:val="21"/>
        </w:rPr>
        <w:t xml:space="preserve"> інформацію про </w:t>
      </w:r>
      <w:r w:rsidR="00183688" w:rsidRPr="00DE6CC2">
        <w:rPr>
          <w:rFonts w:ascii="Century Gothic" w:eastAsia="Times New Roman" w:hAnsi="Century Gothic"/>
          <w:sz w:val="21"/>
          <w:szCs w:val="21"/>
        </w:rPr>
        <w:t xml:space="preserve">найменування/прізвище, ім’я, по батькові (за наявності), країну місцезнаходження/місце проживання отримувача переказу, найменування та країну місцезнаходження банку та реквізити рахунку, на який здійснюється переказ, найменування валюти, суму переказу до сплати, призначення (мету) переказу. Зазначені в підпункті 3 документи не подаються в разі </w:t>
      </w:r>
      <w:r w:rsidR="00183688">
        <w:rPr>
          <w:rFonts w:ascii="Century Gothic" w:eastAsia="Times New Roman" w:hAnsi="Century Gothic"/>
          <w:sz w:val="21"/>
          <w:szCs w:val="21"/>
        </w:rPr>
        <w:t xml:space="preserve">переказу іноземної валюти </w:t>
      </w:r>
      <w:r w:rsidR="007A57A1">
        <w:rPr>
          <w:rFonts w:ascii="Century Gothic" w:eastAsia="Times New Roman" w:hAnsi="Century Gothic"/>
          <w:sz w:val="21"/>
          <w:szCs w:val="21"/>
        </w:rPr>
        <w:t xml:space="preserve">за кордон </w:t>
      </w:r>
      <w:r w:rsidR="00183688">
        <w:rPr>
          <w:rFonts w:ascii="Century Gothic" w:eastAsia="Times New Roman" w:hAnsi="Century Gothic"/>
          <w:sz w:val="21"/>
          <w:szCs w:val="21"/>
        </w:rPr>
        <w:t xml:space="preserve">в межах </w:t>
      </w:r>
      <w:r w:rsidR="007C7852">
        <w:rPr>
          <w:rFonts w:ascii="Century Gothic" w:eastAsia="Times New Roman" w:hAnsi="Century Gothic"/>
          <w:sz w:val="21"/>
          <w:szCs w:val="21"/>
        </w:rPr>
        <w:t>Е</w:t>
      </w:r>
      <w:r w:rsidR="00837CFF">
        <w:rPr>
          <w:rFonts w:ascii="Century Gothic" w:eastAsia="Times New Roman" w:hAnsi="Century Gothic"/>
          <w:sz w:val="21"/>
          <w:szCs w:val="21"/>
        </w:rPr>
        <w:t>-</w:t>
      </w:r>
      <w:r w:rsidR="00183688">
        <w:rPr>
          <w:rFonts w:ascii="Century Gothic" w:eastAsia="Times New Roman" w:hAnsi="Century Gothic"/>
          <w:sz w:val="21"/>
          <w:szCs w:val="21"/>
        </w:rPr>
        <w:t>ліміту</w:t>
      </w:r>
      <w:r w:rsidR="00183688" w:rsidRPr="003D74DB">
        <w:rPr>
          <w:rFonts w:ascii="Century Gothic" w:eastAsia="Times New Roman" w:hAnsi="Century Gothic"/>
          <w:sz w:val="21"/>
          <w:szCs w:val="21"/>
        </w:rPr>
        <w:t xml:space="preserve"> для розміщення фізичною особою</w:t>
      </w:r>
      <w:r w:rsidR="00E40DFB" w:rsidRPr="00837CFF">
        <w:rPr>
          <w:rFonts w:ascii="Century Gothic" w:eastAsia="Times New Roman" w:hAnsi="Century Gothic"/>
          <w:sz w:val="21"/>
          <w:szCs w:val="21"/>
        </w:rPr>
        <w:t>-</w:t>
      </w:r>
      <w:r w:rsidR="00E40DFB" w:rsidRPr="00837CFF">
        <w:rPr>
          <w:rFonts w:ascii="Century Gothic" w:eastAsia="Times New Roman" w:hAnsi="Century Gothic"/>
          <w:sz w:val="21"/>
          <w:szCs w:val="21"/>
          <w:lang w:val="ru-RU"/>
        </w:rPr>
        <w:t>резидентом</w:t>
      </w:r>
      <w:r w:rsidR="00183688" w:rsidRPr="003D74DB">
        <w:rPr>
          <w:rFonts w:ascii="Century Gothic" w:eastAsia="Times New Roman" w:hAnsi="Century Gothic"/>
          <w:sz w:val="21"/>
          <w:szCs w:val="21"/>
        </w:rPr>
        <w:t xml:space="preserve"> (</w:t>
      </w:r>
      <w:r w:rsidR="00E64D3F" w:rsidRPr="003D74DB">
        <w:rPr>
          <w:rFonts w:ascii="Century Gothic" w:eastAsia="Times New Roman" w:hAnsi="Century Gothic"/>
          <w:sz w:val="21"/>
          <w:szCs w:val="21"/>
        </w:rPr>
        <w:t xml:space="preserve">ініціатором </w:t>
      </w:r>
      <w:r w:rsidR="00E40DFB" w:rsidRPr="003D74DB">
        <w:rPr>
          <w:rFonts w:ascii="Century Gothic" w:eastAsia="Times New Roman" w:hAnsi="Century Gothic"/>
          <w:sz w:val="21"/>
          <w:szCs w:val="21"/>
        </w:rPr>
        <w:t>в</w:t>
      </w:r>
      <w:r w:rsidR="00E64D3F" w:rsidRPr="003D74DB">
        <w:rPr>
          <w:rFonts w:ascii="Century Gothic" w:eastAsia="Times New Roman" w:hAnsi="Century Gothic"/>
          <w:sz w:val="21"/>
          <w:szCs w:val="21"/>
        </w:rPr>
        <w:t>алютної операції</w:t>
      </w:r>
      <w:r w:rsidR="00183688" w:rsidRPr="003D74DB">
        <w:rPr>
          <w:rFonts w:ascii="Century Gothic" w:eastAsia="Times New Roman" w:hAnsi="Century Gothic"/>
          <w:sz w:val="21"/>
          <w:szCs w:val="21"/>
        </w:rPr>
        <w:t>) коштів на власному рахунку за межами України</w:t>
      </w:r>
      <w:r w:rsidR="00211C43" w:rsidRPr="006548DB">
        <w:rPr>
          <w:rFonts w:ascii="Century Gothic" w:eastAsia="Times New Roman" w:hAnsi="Century Gothic"/>
          <w:sz w:val="21"/>
          <w:szCs w:val="21"/>
          <w:lang w:val="ru-RU"/>
        </w:rPr>
        <w:t>.</w:t>
      </w:r>
      <w:r w:rsidR="00211C43">
        <w:rPr>
          <w:rFonts w:ascii="Century Gothic" w:eastAsia="Times New Roman" w:hAnsi="Century Gothic"/>
          <w:sz w:val="21"/>
          <w:szCs w:val="21"/>
          <w:lang w:val="ru-RU"/>
        </w:rPr>
        <w:t xml:space="preserve"> </w:t>
      </w:r>
      <w:r w:rsidR="00211C43" w:rsidRPr="006548DB">
        <w:rPr>
          <w:rFonts w:ascii="Century Gothic" w:eastAsia="Times New Roman" w:hAnsi="Century Gothic"/>
          <w:i/>
          <w:sz w:val="21"/>
          <w:szCs w:val="21"/>
          <w:lang w:val="ru-RU"/>
        </w:rPr>
        <w:t>У разі переказу в іноземній валюті з метою виконання власних зобов’язань перед нерезидентом за договором страхування життя/зі здійснення інвестицій за кордон підтвердні документи надаються незалежно від суми переказу</w:t>
      </w:r>
      <w:r w:rsidR="00183688" w:rsidRPr="003D74DB">
        <w:rPr>
          <w:rFonts w:ascii="Century Gothic" w:eastAsia="Times New Roman" w:hAnsi="Century Gothic"/>
          <w:sz w:val="21"/>
          <w:szCs w:val="21"/>
        </w:rPr>
        <w:t>;</w:t>
      </w:r>
      <w:r w:rsidR="009F1E2B" w:rsidRPr="009F1E2B">
        <w:rPr>
          <w:rFonts w:ascii="Century Gothic" w:eastAsia="Times New Roman" w:hAnsi="Century Gothic"/>
          <w:sz w:val="21"/>
          <w:szCs w:val="21"/>
          <w:lang w:val="ru-RU"/>
        </w:rPr>
        <w:t xml:space="preserve">  </w:t>
      </w:r>
    </w:p>
    <w:p w14:paraId="63489576" w14:textId="77777777" w:rsidR="00183688" w:rsidRDefault="00183688" w:rsidP="00F21037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before="100" w:beforeAutospacing="1" w:after="75" w:line="240" w:lineRule="auto"/>
        <w:ind w:left="142" w:right="0" w:firstLine="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>Платіжне доручення в іноземній валюті (в двох примірниках);</w:t>
      </w:r>
    </w:p>
    <w:p w14:paraId="089F3E0C" w14:textId="73D7DC8D" w:rsidR="009F4D3A" w:rsidRPr="009F4D3A" w:rsidRDefault="00183688" w:rsidP="00F21037">
      <w:pPr>
        <w:pStyle w:val="a3"/>
        <w:numPr>
          <w:ilvl w:val="0"/>
          <w:numId w:val="2"/>
        </w:numPr>
        <w:tabs>
          <w:tab w:val="left" w:pos="0"/>
          <w:tab w:val="left" w:pos="284"/>
        </w:tabs>
        <w:spacing w:before="100" w:beforeAutospacing="1" w:after="75" w:line="240" w:lineRule="auto"/>
        <w:ind w:left="142" w:right="0" w:firstLine="0"/>
        <w:rPr>
          <w:rFonts w:ascii="Century Gothic" w:eastAsia="Times New Roman" w:hAnsi="Century Gothic"/>
          <w:sz w:val="21"/>
          <w:szCs w:val="21"/>
        </w:rPr>
      </w:pPr>
      <w:r w:rsidRPr="00DE6CC2">
        <w:rPr>
          <w:rFonts w:ascii="Century Gothic" w:eastAsia="Times New Roman" w:hAnsi="Century Gothic"/>
          <w:sz w:val="21"/>
          <w:szCs w:val="21"/>
        </w:rPr>
        <w:t xml:space="preserve">В разі необхідності купівлі іноземної валюти - заява про купівлю іноземної валюти </w:t>
      </w:r>
      <w:r w:rsidR="00E40DFB">
        <w:rPr>
          <w:rFonts w:ascii="Century Gothic" w:eastAsia="Times New Roman" w:hAnsi="Century Gothic"/>
          <w:sz w:val="21"/>
          <w:szCs w:val="21"/>
        </w:rPr>
        <w:t xml:space="preserve">за формою, </w:t>
      </w:r>
      <w:r w:rsidR="00EC74A9">
        <w:rPr>
          <w:rFonts w:ascii="Century Gothic" w:eastAsia="Times New Roman" w:hAnsi="Century Gothic"/>
          <w:sz w:val="21"/>
          <w:szCs w:val="21"/>
        </w:rPr>
        <w:t>розробленою Банком</w:t>
      </w:r>
      <w:r w:rsidRPr="00DE6CC2">
        <w:rPr>
          <w:rFonts w:ascii="Century Gothic" w:eastAsia="Times New Roman" w:hAnsi="Century Gothic"/>
          <w:sz w:val="21"/>
          <w:szCs w:val="21"/>
        </w:rPr>
        <w:t xml:space="preserve">(в двох примірниках). </w:t>
      </w:r>
    </w:p>
    <w:p w14:paraId="285B4D97" w14:textId="77777777" w:rsidR="007A57A1" w:rsidRPr="00EE4FD1" w:rsidRDefault="007A57A1" w:rsidP="00EE4FD1">
      <w:pPr>
        <w:spacing w:before="100" w:beforeAutospacing="1" w:after="100" w:afterAutospacing="1"/>
        <w:ind w:left="142" w:firstLine="0"/>
        <w:rPr>
          <w:rFonts w:ascii="Century Gothic" w:eastAsia="Times New Roman" w:hAnsi="Century Gothic"/>
          <w:sz w:val="21"/>
          <w:szCs w:val="21"/>
        </w:rPr>
      </w:pPr>
      <w:r w:rsidRPr="00EE4FD1">
        <w:rPr>
          <w:rFonts w:ascii="Century Gothic" w:eastAsia="Times New Roman" w:hAnsi="Century Gothic"/>
          <w:b/>
          <w:bCs/>
          <w:sz w:val="21"/>
          <w:szCs w:val="21"/>
        </w:rPr>
        <w:t>Важливо!  </w:t>
      </w:r>
      <w:r w:rsidRPr="00EE4FD1">
        <w:rPr>
          <w:rFonts w:ascii="Century Gothic" w:eastAsia="Times New Roman" w:hAnsi="Century Gothic"/>
          <w:sz w:val="21"/>
          <w:szCs w:val="21"/>
        </w:rPr>
        <w:t>Оригінали документів, зазначених вище, надаютьс</w:t>
      </w:r>
      <w:bookmarkStart w:id="0" w:name="_GoBack"/>
      <w:bookmarkEnd w:id="0"/>
      <w:r w:rsidRPr="00EE4FD1">
        <w:rPr>
          <w:rFonts w:ascii="Century Gothic" w:eastAsia="Times New Roman" w:hAnsi="Century Gothic"/>
          <w:sz w:val="21"/>
          <w:szCs w:val="21"/>
        </w:rPr>
        <w:t>я до Банку у паперовому вигляді.</w:t>
      </w:r>
    </w:p>
    <w:p w14:paraId="51BC5EB7" w14:textId="0A41D6D3" w:rsidR="007A57A1" w:rsidRPr="00371859" w:rsidRDefault="007A57A1" w:rsidP="00EE4FD1">
      <w:pPr>
        <w:spacing w:before="100" w:beforeAutospacing="1" w:after="100" w:afterAutospacing="1"/>
        <w:ind w:left="142" w:firstLine="0"/>
        <w:rPr>
          <w:rFonts w:ascii="Century Gothic" w:eastAsia="Times New Roman" w:hAnsi="Century Gothic"/>
          <w:sz w:val="21"/>
          <w:szCs w:val="21"/>
        </w:rPr>
      </w:pPr>
      <w:r w:rsidRPr="00EE4FD1">
        <w:rPr>
          <w:rFonts w:ascii="Century Gothic" w:eastAsia="Times New Roman" w:hAnsi="Century Gothic"/>
          <w:sz w:val="21"/>
          <w:szCs w:val="21"/>
        </w:rPr>
        <w:t xml:space="preserve">Заява повинна бути підписана Клієнтом власноручно. </w:t>
      </w:r>
      <w:r w:rsidRPr="00AA60A3">
        <w:rPr>
          <w:rFonts w:ascii="Century Gothic" w:eastAsia="Times New Roman" w:hAnsi="Century Gothic"/>
          <w:sz w:val="21"/>
          <w:szCs w:val="21"/>
        </w:rPr>
        <w:t>Копії</w:t>
      </w:r>
      <w:r w:rsidR="00557F4D" w:rsidRPr="00AA60A3">
        <w:rPr>
          <w:rFonts w:ascii="Century Gothic" w:eastAsia="Times New Roman" w:hAnsi="Century Gothic"/>
          <w:sz w:val="21"/>
          <w:szCs w:val="21"/>
        </w:rPr>
        <w:t xml:space="preserve"> </w:t>
      </w:r>
      <w:r w:rsidRPr="00AA60A3">
        <w:rPr>
          <w:rFonts w:ascii="Century Gothic" w:eastAsia="Times New Roman" w:hAnsi="Century Gothic"/>
          <w:sz w:val="21"/>
          <w:szCs w:val="21"/>
        </w:rPr>
        <w:t>документів</w:t>
      </w:r>
      <w:r w:rsidR="00837CFF">
        <w:rPr>
          <w:rFonts w:ascii="Century Gothic" w:eastAsia="Times New Roman" w:hAnsi="Century Gothic"/>
          <w:sz w:val="21"/>
          <w:szCs w:val="21"/>
        </w:rPr>
        <w:t xml:space="preserve">, зазначені у пунктах 2 та 3 </w:t>
      </w:r>
      <w:r w:rsidR="00837CFF" w:rsidRPr="00332897">
        <w:rPr>
          <w:rFonts w:ascii="Century Gothic" w:eastAsia="Times New Roman" w:hAnsi="Century Gothic"/>
          <w:sz w:val="21"/>
          <w:szCs w:val="21"/>
        </w:rPr>
        <w:t>повинні подаватися</w:t>
      </w:r>
      <w:r w:rsidRPr="00332897">
        <w:rPr>
          <w:rFonts w:ascii="Century Gothic" w:eastAsia="Times New Roman" w:hAnsi="Century Gothic"/>
          <w:sz w:val="21"/>
          <w:szCs w:val="21"/>
        </w:rPr>
        <w:t xml:space="preserve"> у паперовій формі з оригіналів</w:t>
      </w:r>
      <w:r w:rsidRPr="00AA60A3">
        <w:rPr>
          <w:rFonts w:ascii="Century Gothic" w:eastAsia="Times New Roman" w:hAnsi="Century Gothic"/>
          <w:sz w:val="21"/>
          <w:szCs w:val="21"/>
        </w:rPr>
        <w:t xml:space="preserve"> </w:t>
      </w:r>
      <w:r w:rsidR="00332897">
        <w:rPr>
          <w:rFonts w:ascii="Century Gothic" w:eastAsia="Times New Roman" w:hAnsi="Century Gothic"/>
          <w:sz w:val="21"/>
          <w:szCs w:val="21"/>
        </w:rPr>
        <w:t xml:space="preserve">документів на </w:t>
      </w:r>
      <w:r w:rsidRPr="00AA60A3">
        <w:rPr>
          <w:rFonts w:ascii="Century Gothic" w:eastAsia="Times New Roman" w:hAnsi="Century Gothic"/>
          <w:sz w:val="21"/>
          <w:szCs w:val="21"/>
        </w:rPr>
        <w:t xml:space="preserve">паперових </w:t>
      </w:r>
      <w:r w:rsidR="00332897">
        <w:rPr>
          <w:rFonts w:ascii="Century Gothic" w:eastAsia="Times New Roman" w:hAnsi="Century Gothic"/>
          <w:sz w:val="21"/>
          <w:szCs w:val="21"/>
        </w:rPr>
        <w:t>носіях інформації</w:t>
      </w:r>
      <w:r w:rsidR="00837CFF">
        <w:rPr>
          <w:rFonts w:ascii="Century Gothic" w:eastAsia="Times New Roman" w:hAnsi="Century Gothic"/>
          <w:sz w:val="21"/>
          <w:szCs w:val="21"/>
        </w:rPr>
        <w:t>, що</w:t>
      </w:r>
      <w:r w:rsidRPr="00AA60A3">
        <w:rPr>
          <w:rFonts w:ascii="Century Gothic" w:eastAsia="Times New Roman" w:hAnsi="Century Gothic"/>
          <w:sz w:val="21"/>
          <w:szCs w:val="21"/>
        </w:rPr>
        <w:t xml:space="preserve"> мають засвідчуватися підписом фізичної особи</w:t>
      </w:r>
      <w:r w:rsidR="004D4D55">
        <w:rPr>
          <w:rFonts w:ascii="Century Gothic" w:eastAsia="Times New Roman" w:hAnsi="Century Gothic"/>
          <w:sz w:val="21"/>
          <w:szCs w:val="21"/>
        </w:rPr>
        <w:t>-резидента</w:t>
      </w:r>
      <w:r w:rsidRPr="00AA60A3">
        <w:rPr>
          <w:rFonts w:ascii="Century Gothic" w:eastAsia="Times New Roman" w:hAnsi="Century Gothic"/>
          <w:sz w:val="21"/>
          <w:szCs w:val="21"/>
        </w:rPr>
        <w:t xml:space="preserve"> (</w:t>
      </w:r>
      <w:r w:rsidR="00E64D3F" w:rsidRPr="00AA60A3">
        <w:rPr>
          <w:rFonts w:ascii="Century Gothic" w:eastAsia="Times New Roman" w:hAnsi="Century Gothic"/>
          <w:sz w:val="21"/>
          <w:szCs w:val="21"/>
        </w:rPr>
        <w:t xml:space="preserve">ініціатора </w:t>
      </w:r>
      <w:r w:rsidR="003D74DB" w:rsidRPr="00AA60A3">
        <w:rPr>
          <w:rFonts w:ascii="Century Gothic" w:eastAsia="Times New Roman" w:hAnsi="Century Gothic"/>
          <w:sz w:val="21"/>
          <w:szCs w:val="21"/>
        </w:rPr>
        <w:t>в</w:t>
      </w:r>
      <w:r w:rsidR="00E64D3F" w:rsidRPr="00AA60A3">
        <w:rPr>
          <w:rFonts w:ascii="Century Gothic" w:eastAsia="Times New Roman" w:hAnsi="Century Gothic"/>
          <w:sz w:val="21"/>
          <w:szCs w:val="21"/>
        </w:rPr>
        <w:t>алютної операції</w:t>
      </w:r>
      <w:r w:rsidRPr="00AA60A3">
        <w:rPr>
          <w:rFonts w:ascii="Century Gothic" w:eastAsia="Times New Roman" w:hAnsi="Century Gothic"/>
          <w:sz w:val="21"/>
          <w:szCs w:val="21"/>
        </w:rPr>
        <w:t>) як такі, що відповідають оригіналу.</w:t>
      </w:r>
    </w:p>
    <w:p w14:paraId="428A698C" w14:textId="0AE37317" w:rsidR="007A57A1" w:rsidRPr="00EE4FD1" w:rsidRDefault="007A57A1" w:rsidP="00AB2CF4">
      <w:pPr>
        <w:spacing w:before="100" w:beforeAutospacing="1" w:after="100" w:afterAutospacing="1" w:line="269" w:lineRule="auto"/>
        <w:ind w:left="142" w:right="11" w:firstLine="0"/>
        <w:rPr>
          <w:rFonts w:ascii="Century Gothic" w:eastAsia="Times New Roman" w:hAnsi="Century Gothic"/>
          <w:sz w:val="21"/>
          <w:szCs w:val="21"/>
        </w:rPr>
      </w:pPr>
      <w:r w:rsidRPr="00371859">
        <w:rPr>
          <w:rFonts w:ascii="Century Gothic" w:eastAsia="Times New Roman" w:hAnsi="Century Gothic"/>
          <w:sz w:val="21"/>
          <w:szCs w:val="21"/>
        </w:rPr>
        <w:t>Підтвердні докум</w:t>
      </w:r>
      <w:r w:rsidR="00371859" w:rsidRPr="00371859">
        <w:rPr>
          <w:rFonts w:ascii="Century Gothic" w:eastAsia="Times New Roman" w:hAnsi="Century Gothic"/>
          <w:sz w:val="21"/>
          <w:szCs w:val="21"/>
        </w:rPr>
        <w:t>енти, викладені іноземною мовою</w:t>
      </w:r>
      <w:r w:rsidRPr="00371859">
        <w:rPr>
          <w:rFonts w:ascii="Century Gothic" w:eastAsia="Times New Roman" w:hAnsi="Century Gothic"/>
          <w:sz w:val="21"/>
          <w:szCs w:val="21"/>
        </w:rPr>
        <w:t>, мають бути перекладені на українську мову, правильність перекладу документів з однієї мови на іншу засвідчується нотаріально, якщо нотаріус знає відповідні мови, а якщо переклад документа був зроблений перекладачем, то підпис перекладача завіряється нотаріально.</w:t>
      </w:r>
      <w:r w:rsidRPr="00EE4FD1">
        <w:rPr>
          <w:rFonts w:ascii="Century Gothic" w:eastAsia="Times New Roman" w:hAnsi="Century Gothic"/>
          <w:sz w:val="21"/>
          <w:szCs w:val="21"/>
        </w:rPr>
        <w:t xml:space="preserve"> </w:t>
      </w:r>
    </w:p>
    <w:p w14:paraId="009B0D02" w14:textId="451FA18A" w:rsidR="00162CC9" w:rsidRPr="00556201" w:rsidRDefault="003D74DB" w:rsidP="00162CC9">
      <w:pPr>
        <w:spacing w:before="100" w:beforeAutospacing="1" w:after="100" w:afterAutospacing="1"/>
        <w:rPr>
          <w:rFonts w:ascii="Century Gothic" w:eastAsia="Times New Roman" w:hAnsi="Century Gothic"/>
          <w:sz w:val="21"/>
          <w:szCs w:val="21"/>
        </w:rPr>
      </w:pPr>
      <w:r>
        <w:rPr>
          <w:rFonts w:ascii="Century Gothic" w:eastAsia="Times New Roman" w:hAnsi="Century Gothic"/>
          <w:sz w:val="21"/>
          <w:szCs w:val="21"/>
        </w:rPr>
        <w:t>Підтвердні д</w:t>
      </w:r>
      <w:r w:rsidR="00162CC9" w:rsidRPr="00556201">
        <w:rPr>
          <w:rFonts w:ascii="Century Gothic" w:eastAsia="Times New Roman" w:hAnsi="Century Gothic"/>
          <w:sz w:val="21"/>
          <w:szCs w:val="21"/>
        </w:rPr>
        <w:t>окументи, що були подані фізичною особою</w:t>
      </w:r>
      <w:r w:rsidR="004D4D55">
        <w:rPr>
          <w:rFonts w:ascii="Century Gothic" w:eastAsia="Times New Roman" w:hAnsi="Century Gothic"/>
          <w:sz w:val="21"/>
          <w:szCs w:val="21"/>
        </w:rPr>
        <w:t>-резидентом</w:t>
      </w:r>
      <w:r w:rsidR="00162CC9" w:rsidRPr="00556201">
        <w:rPr>
          <w:rFonts w:ascii="Century Gothic" w:eastAsia="Times New Roman" w:hAnsi="Century Gothic"/>
          <w:sz w:val="21"/>
          <w:szCs w:val="21"/>
        </w:rPr>
        <w:t xml:space="preserve"> </w:t>
      </w:r>
      <w:r w:rsidR="00E64D3F">
        <w:rPr>
          <w:rFonts w:ascii="Century Gothic" w:eastAsia="Times New Roman" w:hAnsi="Century Gothic"/>
          <w:sz w:val="21"/>
          <w:szCs w:val="21"/>
        </w:rPr>
        <w:t xml:space="preserve">(ініціатором </w:t>
      </w:r>
      <w:r>
        <w:rPr>
          <w:rFonts w:ascii="Century Gothic" w:eastAsia="Times New Roman" w:hAnsi="Century Gothic"/>
          <w:sz w:val="21"/>
          <w:szCs w:val="21"/>
        </w:rPr>
        <w:t>в</w:t>
      </w:r>
      <w:r w:rsidR="00E64D3F">
        <w:rPr>
          <w:rFonts w:ascii="Century Gothic" w:eastAsia="Times New Roman" w:hAnsi="Century Gothic"/>
          <w:sz w:val="21"/>
          <w:szCs w:val="21"/>
        </w:rPr>
        <w:t>алютної операції</w:t>
      </w:r>
      <w:r w:rsidR="00162CC9" w:rsidRPr="00556201">
        <w:rPr>
          <w:rFonts w:ascii="Century Gothic" w:eastAsia="Times New Roman" w:hAnsi="Century Gothic"/>
          <w:sz w:val="21"/>
          <w:szCs w:val="21"/>
        </w:rPr>
        <w:t xml:space="preserve">) до </w:t>
      </w:r>
      <w:r w:rsidR="0061372A">
        <w:rPr>
          <w:rFonts w:ascii="Century Gothic" w:eastAsia="Times New Roman" w:hAnsi="Century Gothic"/>
          <w:sz w:val="21"/>
          <w:szCs w:val="21"/>
        </w:rPr>
        <w:t>Б</w:t>
      </w:r>
      <w:r w:rsidR="00162CC9" w:rsidRPr="00556201">
        <w:rPr>
          <w:rFonts w:ascii="Century Gothic" w:eastAsia="Times New Roman" w:hAnsi="Century Gothic"/>
          <w:sz w:val="21"/>
          <w:szCs w:val="21"/>
        </w:rPr>
        <w:t xml:space="preserve">анку , залишаються у </w:t>
      </w:r>
      <w:r w:rsidR="0061372A">
        <w:rPr>
          <w:rFonts w:ascii="Century Gothic" w:eastAsia="Times New Roman" w:hAnsi="Century Gothic"/>
          <w:sz w:val="21"/>
          <w:szCs w:val="21"/>
        </w:rPr>
        <w:t>Б</w:t>
      </w:r>
      <w:r w:rsidR="00162CC9" w:rsidRPr="00556201">
        <w:rPr>
          <w:rFonts w:ascii="Century Gothic" w:eastAsia="Times New Roman" w:hAnsi="Century Gothic"/>
          <w:sz w:val="21"/>
          <w:szCs w:val="21"/>
        </w:rPr>
        <w:t>анку на зберіганні.</w:t>
      </w:r>
    </w:p>
    <w:p w14:paraId="01DED4AC" w14:textId="0F4500E7" w:rsidR="00162CC9" w:rsidRPr="00556201" w:rsidRDefault="00162CC9" w:rsidP="00162CC9">
      <w:pPr>
        <w:spacing w:before="100" w:beforeAutospacing="1" w:after="300"/>
        <w:rPr>
          <w:rFonts w:ascii="Century Gothic" w:eastAsia="Times New Roman" w:hAnsi="Century Gothic"/>
          <w:sz w:val="21"/>
          <w:szCs w:val="21"/>
        </w:rPr>
      </w:pPr>
      <w:r w:rsidRPr="00556201">
        <w:rPr>
          <w:rFonts w:ascii="Century Gothic" w:eastAsia="Times New Roman" w:hAnsi="Century Gothic"/>
          <w:sz w:val="21"/>
          <w:szCs w:val="21"/>
        </w:rPr>
        <w:t>Розгляд документів фізичної особи</w:t>
      </w:r>
      <w:r w:rsidR="004D4D55">
        <w:rPr>
          <w:rFonts w:ascii="Century Gothic" w:eastAsia="Times New Roman" w:hAnsi="Century Gothic"/>
          <w:sz w:val="21"/>
          <w:szCs w:val="21"/>
        </w:rPr>
        <w:t>-резидента</w:t>
      </w:r>
      <w:r w:rsidRPr="00556201">
        <w:rPr>
          <w:rFonts w:ascii="Century Gothic" w:eastAsia="Times New Roman" w:hAnsi="Century Gothic"/>
          <w:sz w:val="21"/>
          <w:szCs w:val="21"/>
        </w:rPr>
        <w:t xml:space="preserve"> (</w:t>
      </w:r>
      <w:r w:rsidR="00E64D3F">
        <w:rPr>
          <w:rFonts w:ascii="Century Gothic" w:eastAsia="Times New Roman" w:hAnsi="Century Gothic"/>
          <w:sz w:val="21"/>
          <w:szCs w:val="21"/>
        </w:rPr>
        <w:t xml:space="preserve">ініціатора </w:t>
      </w:r>
      <w:r w:rsidR="003D74DB">
        <w:rPr>
          <w:rFonts w:ascii="Century Gothic" w:eastAsia="Times New Roman" w:hAnsi="Century Gothic"/>
          <w:sz w:val="21"/>
          <w:szCs w:val="21"/>
        </w:rPr>
        <w:t>в</w:t>
      </w:r>
      <w:r w:rsidR="00E64D3F">
        <w:rPr>
          <w:rFonts w:ascii="Century Gothic" w:eastAsia="Times New Roman" w:hAnsi="Century Gothic"/>
          <w:sz w:val="21"/>
          <w:szCs w:val="21"/>
        </w:rPr>
        <w:t>алютної операції</w:t>
      </w:r>
      <w:r w:rsidRPr="00556201">
        <w:rPr>
          <w:rFonts w:ascii="Century Gothic" w:eastAsia="Times New Roman" w:hAnsi="Century Gothic"/>
          <w:sz w:val="21"/>
          <w:szCs w:val="21"/>
        </w:rPr>
        <w:t xml:space="preserve">)  </w:t>
      </w:r>
      <w:r w:rsidR="00A857D6">
        <w:rPr>
          <w:rFonts w:ascii="Century Gothic" w:eastAsia="Times New Roman" w:hAnsi="Century Gothic"/>
          <w:sz w:val="21"/>
          <w:szCs w:val="21"/>
        </w:rPr>
        <w:t xml:space="preserve">для переказу іноземної валюти за кордон </w:t>
      </w:r>
      <w:r w:rsidR="003D74DB">
        <w:rPr>
          <w:rFonts w:ascii="Century Gothic" w:eastAsia="Times New Roman" w:hAnsi="Century Gothic"/>
          <w:sz w:val="21"/>
          <w:szCs w:val="21"/>
        </w:rPr>
        <w:t xml:space="preserve">за операцією, на яку поширюється </w:t>
      </w:r>
      <w:r w:rsidR="007C7852">
        <w:rPr>
          <w:rFonts w:ascii="Century Gothic" w:eastAsia="Times New Roman" w:hAnsi="Century Gothic"/>
          <w:sz w:val="21"/>
          <w:szCs w:val="21"/>
        </w:rPr>
        <w:t>Е</w:t>
      </w:r>
      <w:r w:rsidR="00837CFF">
        <w:rPr>
          <w:rFonts w:ascii="Century Gothic" w:eastAsia="Times New Roman" w:hAnsi="Century Gothic"/>
          <w:sz w:val="21"/>
          <w:szCs w:val="21"/>
        </w:rPr>
        <w:t>-</w:t>
      </w:r>
      <w:r w:rsidR="003D74DB">
        <w:rPr>
          <w:rFonts w:ascii="Century Gothic" w:eastAsia="Times New Roman" w:hAnsi="Century Gothic"/>
          <w:sz w:val="21"/>
          <w:szCs w:val="21"/>
        </w:rPr>
        <w:t>ліміт,</w:t>
      </w:r>
      <w:r w:rsidR="003D74DB" w:rsidDel="003D74DB">
        <w:rPr>
          <w:rFonts w:ascii="Century Gothic" w:eastAsia="Times New Roman" w:hAnsi="Century Gothic"/>
          <w:sz w:val="21"/>
          <w:szCs w:val="21"/>
        </w:rPr>
        <w:t xml:space="preserve"> </w:t>
      </w:r>
      <w:r w:rsidRPr="00556201">
        <w:rPr>
          <w:rFonts w:ascii="Century Gothic" w:eastAsia="Times New Roman" w:hAnsi="Century Gothic"/>
          <w:sz w:val="21"/>
          <w:szCs w:val="21"/>
        </w:rPr>
        <w:t xml:space="preserve">здійснюється Банком протягом 3-х робочих днів від дати отримання </w:t>
      </w:r>
      <w:r w:rsidR="006812BB">
        <w:rPr>
          <w:rFonts w:ascii="Century Gothic" w:eastAsia="Times New Roman" w:hAnsi="Century Gothic"/>
          <w:sz w:val="21"/>
          <w:szCs w:val="21"/>
        </w:rPr>
        <w:t>З</w:t>
      </w:r>
      <w:r w:rsidRPr="006812BB">
        <w:rPr>
          <w:rFonts w:ascii="Century Gothic" w:eastAsia="Times New Roman" w:hAnsi="Century Gothic"/>
          <w:sz w:val="21"/>
          <w:szCs w:val="21"/>
        </w:rPr>
        <w:t>аяви.</w:t>
      </w:r>
      <w:r w:rsidRPr="00556201">
        <w:rPr>
          <w:rFonts w:ascii="Century Gothic" w:eastAsia="Times New Roman" w:hAnsi="Century Gothic"/>
          <w:sz w:val="21"/>
          <w:szCs w:val="21"/>
        </w:rPr>
        <w:t xml:space="preserve"> </w:t>
      </w:r>
    </w:p>
    <w:p w14:paraId="5C9178CA" w14:textId="1022DF86" w:rsidR="00162CC9" w:rsidRDefault="00162CC9" w:rsidP="00162CC9">
      <w:pPr>
        <w:spacing w:before="100" w:beforeAutospacing="1" w:after="300"/>
        <w:rPr>
          <w:rFonts w:ascii="Century Gothic" w:eastAsia="Times New Roman" w:hAnsi="Century Gothic"/>
          <w:sz w:val="21"/>
          <w:szCs w:val="21"/>
        </w:rPr>
      </w:pPr>
      <w:r w:rsidRPr="00556201">
        <w:rPr>
          <w:rFonts w:ascii="Century Gothic" w:eastAsia="Times New Roman" w:hAnsi="Century Gothic"/>
          <w:sz w:val="21"/>
          <w:szCs w:val="21"/>
        </w:rPr>
        <w:t>В разі необхідності купівлі іноземної валюти</w:t>
      </w:r>
      <w:r w:rsidR="00B03B4A">
        <w:rPr>
          <w:rFonts w:ascii="Century Gothic" w:eastAsia="Times New Roman" w:hAnsi="Century Gothic"/>
          <w:sz w:val="21"/>
          <w:szCs w:val="21"/>
        </w:rPr>
        <w:t xml:space="preserve"> на валютному ринку України</w:t>
      </w:r>
      <w:r w:rsidRPr="00556201">
        <w:rPr>
          <w:rFonts w:ascii="Century Gothic" w:eastAsia="Times New Roman" w:hAnsi="Century Gothic"/>
          <w:sz w:val="21"/>
          <w:szCs w:val="21"/>
        </w:rPr>
        <w:t xml:space="preserve">, розгляд документів </w:t>
      </w:r>
      <w:r w:rsidR="00A857D6">
        <w:rPr>
          <w:rFonts w:ascii="Century Gothic" w:eastAsia="Times New Roman" w:hAnsi="Century Gothic"/>
          <w:sz w:val="21"/>
          <w:szCs w:val="21"/>
        </w:rPr>
        <w:t xml:space="preserve">для переказу іноземної валюти за кордон </w:t>
      </w:r>
      <w:r w:rsidR="003D74DB">
        <w:rPr>
          <w:rFonts w:ascii="Century Gothic" w:eastAsia="Times New Roman" w:hAnsi="Century Gothic"/>
          <w:sz w:val="21"/>
          <w:szCs w:val="21"/>
        </w:rPr>
        <w:t xml:space="preserve">за операцією, на яку поширюється </w:t>
      </w:r>
      <w:r w:rsidR="007C7852">
        <w:rPr>
          <w:rFonts w:ascii="Century Gothic" w:eastAsia="Times New Roman" w:hAnsi="Century Gothic"/>
          <w:sz w:val="21"/>
          <w:szCs w:val="21"/>
        </w:rPr>
        <w:t>Е</w:t>
      </w:r>
      <w:r w:rsidR="00837CFF">
        <w:rPr>
          <w:rFonts w:ascii="Century Gothic" w:eastAsia="Times New Roman" w:hAnsi="Century Gothic"/>
          <w:sz w:val="21"/>
          <w:szCs w:val="21"/>
        </w:rPr>
        <w:t>-</w:t>
      </w:r>
      <w:r w:rsidR="003D74DB">
        <w:rPr>
          <w:rFonts w:ascii="Century Gothic" w:eastAsia="Times New Roman" w:hAnsi="Century Gothic"/>
          <w:sz w:val="21"/>
          <w:szCs w:val="21"/>
        </w:rPr>
        <w:t xml:space="preserve">ліміт, </w:t>
      </w:r>
      <w:r w:rsidRPr="00556201">
        <w:rPr>
          <w:rFonts w:ascii="Century Gothic" w:eastAsia="Times New Roman" w:hAnsi="Century Gothic"/>
          <w:sz w:val="21"/>
          <w:szCs w:val="21"/>
        </w:rPr>
        <w:t xml:space="preserve">здійснюється Банком протягом 4-х робочих днів від дати отримання </w:t>
      </w:r>
      <w:r w:rsidRPr="00AD7EBC">
        <w:rPr>
          <w:rFonts w:ascii="Century Gothic" w:eastAsia="Times New Roman" w:hAnsi="Century Gothic"/>
          <w:sz w:val="21"/>
          <w:szCs w:val="21"/>
        </w:rPr>
        <w:t>документів</w:t>
      </w:r>
      <w:r w:rsidR="008D0A40" w:rsidRPr="00837CFF">
        <w:rPr>
          <w:rFonts w:ascii="Century Gothic" w:eastAsia="Times New Roman" w:hAnsi="Century Gothic"/>
          <w:sz w:val="21"/>
          <w:szCs w:val="21"/>
        </w:rPr>
        <w:t>, визначених пунктами 1-5</w:t>
      </w:r>
      <w:r w:rsidRPr="00AD7EBC">
        <w:rPr>
          <w:rFonts w:ascii="Century Gothic" w:eastAsia="Times New Roman" w:hAnsi="Century Gothic"/>
          <w:sz w:val="21"/>
          <w:szCs w:val="21"/>
        </w:rPr>
        <w:t>.</w:t>
      </w:r>
    </w:p>
    <w:p w14:paraId="7099D038" w14:textId="6B85E041" w:rsidR="008D0A40" w:rsidRPr="00556201" w:rsidRDefault="008D0A40" w:rsidP="00162CC9">
      <w:pPr>
        <w:spacing w:before="100" w:beforeAutospacing="1" w:after="300"/>
        <w:rPr>
          <w:rFonts w:ascii="Century Gothic" w:eastAsia="Times New Roman" w:hAnsi="Century Gothic"/>
          <w:sz w:val="21"/>
          <w:szCs w:val="21"/>
        </w:rPr>
      </w:pPr>
      <w:r w:rsidRPr="008D0A40">
        <w:rPr>
          <w:rFonts w:ascii="Century Gothic" w:eastAsia="Times New Roman" w:hAnsi="Century Gothic"/>
          <w:sz w:val="21"/>
          <w:szCs w:val="21"/>
        </w:rPr>
        <w:t>Банк здійсн</w:t>
      </w:r>
      <w:r>
        <w:rPr>
          <w:rFonts w:ascii="Century Gothic" w:eastAsia="Times New Roman" w:hAnsi="Century Gothic"/>
          <w:sz w:val="21"/>
          <w:szCs w:val="21"/>
        </w:rPr>
        <w:t>ює</w:t>
      </w:r>
      <w:r w:rsidRPr="008D0A40">
        <w:rPr>
          <w:rFonts w:ascii="Century Gothic" w:eastAsia="Times New Roman" w:hAnsi="Century Gothic"/>
          <w:sz w:val="21"/>
          <w:szCs w:val="21"/>
        </w:rPr>
        <w:t xml:space="preserve"> </w:t>
      </w:r>
      <w:r w:rsidR="004D4D55">
        <w:rPr>
          <w:rFonts w:ascii="Century Gothic" w:eastAsia="Times New Roman" w:hAnsi="Century Gothic"/>
          <w:sz w:val="21"/>
          <w:szCs w:val="21"/>
        </w:rPr>
        <w:t xml:space="preserve">валютну </w:t>
      </w:r>
      <w:r w:rsidRPr="008D0A40">
        <w:rPr>
          <w:rFonts w:ascii="Century Gothic" w:eastAsia="Times New Roman" w:hAnsi="Century Gothic"/>
          <w:sz w:val="21"/>
          <w:szCs w:val="21"/>
        </w:rPr>
        <w:t>операцію</w:t>
      </w:r>
      <w:r>
        <w:rPr>
          <w:rFonts w:ascii="Century Gothic" w:eastAsia="Times New Roman" w:hAnsi="Century Gothic"/>
          <w:sz w:val="21"/>
          <w:szCs w:val="21"/>
        </w:rPr>
        <w:t xml:space="preserve">, на яку поширюється </w:t>
      </w:r>
      <w:r w:rsidR="007C7852">
        <w:rPr>
          <w:rFonts w:ascii="Century Gothic" w:eastAsia="Times New Roman" w:hAnsi="Century Gothic"/>
          <w:sz w:val="21"/>
          <w:szCs w:val="21"/>
        </w:rPr>
        <w:t>Е</w:t>
      </w:r>
      <w:r w:rsidR="00837CFF">
        <w:rPr>
          <w:rFonts w:ascii="Century Gothic" w:eastAsia="Times New Roman" w:hAnsi="Century Gothic"/>
          <w:sz w:val="21"/>
          <w:szCs w:val="21"/>
        </w:rPr>
        <w:t>-</w:t>
      </w:r>
      <w:r>
        <w:rPr>
          <w:rFonts w:ascii="Century Gothic" w:eastAsia="Times New Roman" w:hAnsi="Century Gothic"/>
          <w:sz w:val="21"/>
          <w:szCs w:val="21"/>
        </w:rPr>
        <w:t>ліміт,</w:t>
      </w:r>
      <w:r w:rsidRPr="008D0A40">
        <w:rPr>
          <w:rFonts w:ascii="Century Gothic" w:eastAsia="Times New Roman" w:hAnsi="Century Gothic"/>
          <w:sz w:val="21"/>
          <w:szCs w:val="21"/>
        </w:rPr>
        <w:t xml:space="preserve"> виключно після отримання від Національного банку </w:t>
      </w:r>
      <w:r>
        <w:rPr>
          <w:rFonts w:ascii="Century Gothic" w:eastAsia="Times New Roman" w:hAnsi="Century Gothic"/>
          <w:sz w:val="21"/>
          <w:szCs w:val="21"/>
        </w:rPr>
        <w:t>України п</w:t>
      </w:r>
      <w:r w:rsidRPr="008D0A40">
        <w:rPr>
          <w:rFonts w:ascii="Century Gothic" w:eastAsia="Times New Roman" w:hAnsi="Century Gothic"/>
          <w:sz w:val="21"/>
          <w:szCs w:val="21"/>
        </w:rPr>
        <w:t xml:space="preserve">овідомлення </w:t>
      </w:r>
      <w:r>
        <w:rPr>
          <w:rFonts w:ascii="Century Gothic" w:eastAsia="Times New Roman" w:hAnsi="Century Gothic"/>
          <w:sz w:val="21"/>
          <w:szCs w:val="21"/>
        </w:rPr>
        <w:t xml:space="preserve">про зменшення загальної суми, встановленої лімітом для фізичної особи-резидента, на суму валютної операції, </w:t>
      </w:r>
      <w:r w:rsidRPr="00332897">
        <w:rPr>
          <w:rFonts w:ascii="Century Gothic" w:eastAsia="Times New Roman" w:hAnsi="Century Gothic"/>
          <w:sz w:val="21"/>
          <w:szCs w:val="21"/>
        </w:rPr>
        <w:t xml:space="preserve">та не пізніше наступного робочого дня після дня отримання </w:t>
      </w:r>
      <w:r w:rsidR="00B03B4A" w:rsidRPr="00332897">
        <w:rPr>
          <w:rFonts w:ascii="Century Gothic" w:eastAsia="Times New Roman" w:hAnsi="Century Gothic"/>
          <w:sz w:val="21"/>
          <w:szCs w:val="21"/>
        </w:rPr>
        <w:t>Б</w:t>
      </w:r>
      <w:r w:rsidRPr="00332897">
        <w:rPr>
          <w:rFonts w:ascii="Century Gothic" w:eastAsia="Times New Roman" w:hAnsi="Century Gothic"/>
          <w:sz w:val="21"/>
          <w:szCs w:val="21"/>
        </w:rPr>
        <w:t>анком цього повідомлення.</w:t>
      </w:r>
    </w:p>
    <w:p w14:paraId="53D3C0F7" w14:textId="42144117" w:rsidR="00162CC9" w:rsidRPr="00556201" w:rsidRDefault="008D0A40" w:rsidP="00162CC9">
      <w:pPr>
        <w:spacing w:before="100" w:beforeAutospacing="1" w:after="300"/>
        <w:rPr>
          <w:rFonts w:ascii="Century Gothic" w:eastAsia="Times New Roman" w:hAnsi="Century Gothic"/>
          <w:sz w:val="21"/>
          <w:szCs w:val="21"/>
        </w:rPr>
      </w:pPr>
      <w:r>
        <w:rPr>
          <w:rFonts w:ascii="Century Gothic" w:eastAsia="Times New Roman" w:hAnsi="Century Gothic"/>
          <w:sz w:val="21"/>
          <w:szCs w:val="21"/>
        </w:rPr>
        <w:t>П</w:t>
      </w:r>
      <w:r w:rsidR="00162CC9" w:rsidRPr="00556201">
        <w:rPr>
          <w:rFonts w:ascii="Century Gothic" w:eastAsia="Times New Roman" w:hAnsi="Century Gothic"/>
          <w:sz w:val="21"/>
          <w:szCs w:val="21"/>
        </w:rPr>
        <w:t>ри цьому</w:t>
      </w:r>
      <w:r w:rsidR="004D4D55">
        <w:rPr>
          <w:rFonts w:ascii="Century Gothic" w:eastAsia="Times New Roman" w:hAnsi="Century Gothic"/>
          <w:sz w:val="21"/>
          <w:szCs w:val="21"/>
        </w:rPr>
        <w:t>,</w:t>
      </w:r>
      <w:r w:rsidR="00162CC9" w:rsidRPr="00556201">
        <w:rPr>
          <w:rFonts w:ascii="Century Gothic" w:eastAsia="Times New Roman" w:hAnsi="Century Gothic"/>
          <w:sz w:val="21"/>
          <w:szCs w:val="21"/>
        </w:rPr>
        <w:t xml:space="preserve"> з </w:t>
      </w:r>
      <w:r w:rsidR="00E85865" w:rsidRPr="00556201">
        <w:rPr>
          <w:rFonts w:ascii="Century Gothic" w:eastAsia="Times New Roman" w:hAnsi="Century Gothic"/>
          <w:sz w:val="21"/>
          <w:szCs w:val="21"/>
        </w:rPr>
        <w:t>рахунк</w:t>
      </w:r>
      <w:r w:rsidR="00E85865">
        <w:rPr>
          <w:rFonts w:ascii="Century Gothic" w:eastAsia="Times New Roman" w:hAnsi="Century Gothic"/>
          <w:sz w:val="21"/>
          <w:szCs w:val="21"/>
        </w:rPr>
        <w:t>у</w:t>
      </w:r>
      <w:r w:rsidR="00E85865" w:rsidRPr="00556201">
        <w:rPr>
          <w:rFonts w:ascii="Century Gothic" w:eastAsia="Times New Roman" w:hAnsi="Century Gothic"/>
          <w:sz w:val="21"/>
          <w:szCs w:val="21"/>
        </w:rPr>
        <w:t xml:space="preserve"> </w:t>
      </w:r>
      <w:r w:rsidR="00162CC9" w:rsidRPr="00556201">
        <w:rPr>
          <w:rFonts w:ascii="Century Gothic" w:eastAsia="Times New Roman" w:hAnsi="Century Gothic"/>
          <w:sz w:val="21"/>
          <w:szCs w:val="21"/>
        </w:rPr>
        <w:t>фізичної особи</w:t>
      </w:r>
      <w:r w:rsidR="004D4D55">
        <w:rPr>
          <w:rFonts w:ascii="Century Gothic" w:eastAsia="Times New Roman" w:hAnsi="Century Gothic"/>
          <w:sz w:val="21"/>
          <w:szCs w:val="21"/>
        </w:rPr>
        <w:t>-резидента</w:t>
      </w:r>
      <w:r w:rsidR="00162CC9" w:rsidRPr="00556201">
        <w:rPr>
          <w:rFonts w:ascii="Century Gothic" w:eastAsia="Times New Roman" w:hAnsi="Century Gothic"/>
          <w:sz w:val="21"/>
          <w:szCs w:val="21"/>
        </w:rPr>
        <w:t xml:space="preserve"> (</w:t>
      </w:r>
      <w:r w:rsidR="00E64D3F">
        <w:rPr>
          <w:rFonts w:ascii="Century Gothic" w:eastAsia="Times New Roman" w:hAnsi="Century Gothic"/>
          <w:sz w:val="21"/>
          <w:szCs w:val="21"/>
        </w:rPr>
        <w:t xml:space="preserve">ініціатора </w:t>
      </w:r>
      <w:r>
        <w:rPr>
          <w:rFonts w:ascii="Century Gothic" w:eastAsia="Times New Roman" w:hAnsi="Century Gothic"/>
          <w:sz w:val="21"/>
          <w:szCs w:val="21"/>
        </w:rPr>
        <w:t>в</w:t>
      </w:r>
      <w:r w:rsidR="00E64D3F">
        <w:rPr>
          <w:rFonts w:ascii="Century Gothic" w:eastAsia="Times New Roman" w:hAnsi="Century Gothic"/>
          <w:sz w:val="21"/>
          <w:szCs w:val="21"/>
        </w:rPr>
        <w:t>алютної операції</w:t>
      </w:r>
      <w:r w:rsidR="00162CC9" w:rsidRPr="00556201">
        <w:rPr>
          <w:rFonts w:ascii="Century Gothic" w:eastAsia="Times New Roman" w:hAnsi="Century Gothic"/>
          <w:sz w:val="21"/>
          <w:szCs w:val="21"/>
        </w:rPr>
        <w:t xml:space="preserve">) буде списана комісія </w:t>
      </w:r>
      <w:r w:rsidR="00E85865">
        <w:rPr>
          <w:rFonts w:ascii="Century Gothic" w:eastAsia="Times New Roman" w:hAnsi="Century Gothic"/>
          <w:sz w:val="21"/>
          <w:szCs w:val="21"/>
        </w:rPr>
        <w:t xml:space="preserve">згідно тарифів Банку </w:t>
      </w:r>
      <w:r w:rsidR="00162CC9" w:rsidRPr="00556201">
        <w:rPr>
          <w:rFonts w:ascii="Century Gothic" w:eastAsia="Times New Roman" w:hAnsi="Century Gothic"/>
          <w:sz w:val="21"/>
          <w:szCs w:val="21"/>
        </w:rPr>
        <w:t xml:space="preserve">за перерахування коштів з поточного рахунку </w:t>
      </w:r>
      <w:r w:rsidR="004D4D55">
        <w:rPr>
          <w:rFonts w:ascii="Century Gothic" w:eastAsia="Times New Roman" w:hAnsi="Century Gothic"/>
          <w:sz w:val="21"/>
          <w:szCs w:val="21"/>
        </w:rPr>
        <w:t xml:space="preserve">в іноземній валюті </w:t>
      </w:r>
      <w:r w:rsidR="00162CC9" w:rsidRPr="00556201">
        <w:rPr>
          <w:rFonts w:ascii="Century Gothic" w:eastAsia="Times New Roman" w:hAnsi="Century Gothic"/>
          <w:sz w:val="21"/>
          <w:szCs w:val="21"/>
        </w:rPr>
        <w:t>фізичної особи</w:t>
      </w:r>
      <w:r w:rsidR="004D4D55">
        <w:rPr>
          <w:rFonts w:ascii="Century Gothic" w:eastAsia="Times New Roman" w:hAnsi="Century Gothic"/>
          <w:sz w:val="21"/>
          <w:szCs w:val="21"/>
        </w:rPr>
        <w:t>-резидента</w:t>
      </w:r>
      <w:r w:rsidR="00162CC9" w:rsidRPr="00556201">
        <w:rPr>
          <w:rFonts w:ascii="Century Gothic" w:eastAsia="Times New Roman" w:hAnsi="Century Gothic"/>
          <w:sz w:val="21"/>
          <w:szCs w:val="21"/>
        </w:rPr>
        <w:t xml:space="preserve"> (</w:t>
      </w:r>
      <w:r w:rsidR="00E64D3F">
        <w:rPr>
          <w:rFonts w:ascii="Century Gothic" w:eastAsia="Times New Roman" w:hAnsi="Century Gothic"/>
          <w:sz w:val="21"/>
          <w:szCs w:val="21"/>
        </w:rPr>
        <w:t xml:space="preserve">ініціатора </w:t>
      </w:r>
      <w:r>
        <w:rPr>
          <w:rFonts w:ascii="Century Gothic" w:eastAsia="Times New Roman" w:hAnsi="Century Gothic"/>
          <w:sz w:val="21"/>
          <w:szCs w:val="21"/>
        </w:rPr>
        <w:t>в</w:t>
      </w:r>
      <w:r w:rsidR="00E64D3F">
        <w:rPr>
          <w:rFonts w:ascii="Century Gothic" w:eastAsia="Times New Roman" w:hAnsi="Century Gothic"/>
          <w:sz w:val="21"/>
          <w:szCs w:val="21"/>
        </w:rPr>
        <w:t>алютної операції</w:t>
      </w:r>
      <w:r w:rsidR="00162CC9" w:rsidRPr="00556201">
        <w:rPr>
          <w:rFonts w:ascii="Century Gothic" w:eastAsia="Times New Roman" w:hAnsi="Century Gothic"/>
          <w:sz w:val="21"/>
          <w:szCs w:val="21"/>
        </w:rPr>
        <w:t>) в інший банк по системі SWIFT (сплачується з пот</w:t>
      </w:r>
      <w:r w:rsidR="00E64D3F">
        <w:rPr>
          <w:rFonts w:ascii="Century Gothic" w:eastAsia="Times New Roman" w:hAnsi="Century Gothic"/>
          <w:sz w:val="21"/>
          <w:szCs w:val="21"/>
        </w:rPr>
        <w:t>очного рахунку фізичної особи</w:t>
      </w:r>
      <w:r w:rsidR="004D4D55">
        <w:rPr>
          <w:rFonts w:ascii="Century Gothic" w:eastAsia="Times New Roman" w:hAnsi="Century Gothic"/>
          <w:sz w:val="21"/>
          <w:szCs w:val="21"/>
        </w:rPr>
        <w:t>-резидента</w:t>
      </w:r>
      <w:r w:rsidR="00E64D3F">
        <w:rPr>
          <w:rFonts w:ascii="Century Gothic" w:eastAsia="Times New Roman" w:hAnsi="Century Gothic"/>
          <w:sz w:val="21"/>
          <w:szCs w:val="21"/>
        </w:rPr>
        <w:t xml:space="preserve"> (ініціатора </w:t>
      </w:r>
      <w:r>
        <w:rPr>
          <w:rFonts w:ascii="Century Gothic" w:eastAsia="Times New Roman" w:hAnsi="Century Gothic"/>
          <w:sz w:val="21"/>
          <w:szCs w:val="21"/>
        </w:rPr>
        <w:t>в</w:t>
      </w:r>
      <w:r w:rsidR="00E64D3F">
        <w:rPr>
          <w:rFonts w:ascii="Century Gothic" w:eastAsia="Times New Roman" w:hAnsi="Century Gothic"/>
          <w:sz w:val="21"/>
          <w:szCs w:val="21"/>
        </w:rPr>
        <w:t>алютної операції</w:t>
      </w:r>
      <w:r w:rsidR="00F27DF8" w:rsidRPr="00F27DF8">
        <w:rPr>
          <w:rFonts w:ascii="Century Gothic" w:eastAsia="Times New Roman" w:hAnsi="Century Gothic"/>
          <w:sz w:val="21"/>
          <w:szCs w:val="21"/>
        </w:rPr>
        <w:t>)</w:t>
      </w:r>
      <w:r w:rsidR="00162CC9" w:rsidRPr="00556201">
        <w:rPr>
          <w:rFonts w:ascii="Century Gothic" w:eastAsia="Times New Roman" w:hAnsi="Century Gothic"/>
          <w:sz w:val="21"/>
          <w:szCs w:val="21"/>
        </w:rPr>
        <w:t xml:space="preserve"> </w:t>
      </w:r>
      <w:r w:rsidR="004D4D55" w:rsidRPr="00556201">
        <w:rPr>
          <w:rFonts w:ascii="Century Gothic" w:eastAsia="Times New Roman" w:hAnsi="Century Gothic"/>
          <w:sz w:val="21"/>
          <w:szCs w:val="21"/>
        </w:rPr>
        <w:t xml:space="preserve"> </w:t>
      </w:r>
      <w:r w:rsidR="00162CC9" w:rsidRPr="00556201">
        <w:rPr>
          <w:rFonts w:ascii="Century Gothic" w:eastAsia="Times New Roman" w:hAnsi="Century Gothic"/>
          <w:sz w:val="21"/>
          <w:szCs w:val="21"/>
        </w:rPr>
        <w:t xml:space="preserve">в день здійснення переказу та додатково </w:t>
      </w:r>
      <w:r w:rsidR="00E85865">
        <w:rPr>
          <w:rFonts w:ascii="Century Gothic" w:eastAsia="Times New Roman" w:hAnsi="Century Gothic"/>
          <w:sz w:val="21"/>
          <w:szCs w:val="21"/>
        </w:rPr>
        <w:t xml:space="preserve">сплачується </w:t>
      </w:r>
      <w:r w:rsidR="00162CC9" w:rsidRPr="00556201">
        <w:rPr>
          <w:rFonts w:ascii="Century Gothic" w:eastAsia="Times New Roman" w:hAnsi="Century Gothic"/>
          <w:sz w:val="21"/>
          <w:szCs w:val="21"/>
        </w:rPr>
        <w:t xml:space="preserve">комісія за здійснення переказу </w:t>
      </w:r>
      <w:r w:rsidR="00EE4FD1">
        <w:rPr>
          <w:rFonts w:ascii="Century Gothic" w:eastAsia="Times New Roman" w:hAnsi="Century Gothic"/>
          <w:sz w:val="21"/>
          <w:szCs w:val="21"/>
        </w:rPr>
        <w:t xml:space="preserve">в межах </w:t>
      </w:r>
      <w:r w:rsidR="007C7852">
        <w:rPr>
          <w:rFonts w:ascii="Century Gothic" w:eastAsia="Times New Roman" w:hAnsi="Century Gothic"/>
          <w:sz w:val="21"/>
          <w:szCs w:val="21"/>
        </w:rPr>
        <w:t>Е</w:t>
      </w:r>
      <w:r w:rsidR="00837CFF">
        <w:rPr>
          <w:rFonts w:ascii="Century Gothic" w:eastAsia="Times New Roman" w:hAnsi="Century Gothic"/>
          <w:sz w:val="21"/>
          <w:szCs w:val="21"/>
        </w:rPr>
        <w:t>-</w:t>
      </w:r>
      <w:r w:rsidR="00EE4FD1">
        <w:rPr>
          <w:rFonts w:ascii="Century Gothic" w:eastAsia="Times New Roman" w:hAnsi="Century Gothic"/>
          <w:sz w:val="21"/>
          <w:szCs w:val="21"/>
        </w:rPr>
        <w:lastRenderedPageBreak/>
        <w:t>ліміту</w:t>
      </w:r>
      <w:r w:rsidR="00162CC9" w:rsidRPr="00556201">
        <w:rPr>
          <w:rFonts w:ascii="Century Gothic" w:eastAsia="Times New Roman" w:hAnsi="Century Gothic"/>
          <w:sz w:val="21"/>
          <w:szCs w:val="21"/>
        </w:rPr>
        <w:t xml:space="preserve"> (сплачується з поточного </w:t>
      </w:r>
      <w:r w:rsidR="00E64D3F">
        <w:rPr>
          <w:rFonts w:ascii="Century Gothic" w:eastAsia="Times New Roman" w:hAnsi="Century Gothic"/>
          <w:sz w:val="21"/>
          <w:szCs w:val="21"/>
        </w:rPr>
        <w:t xml:space="preserve">рахунку фізичної особи (ініціатора </w:t>
      </w:r>
      <w:r>
        <w:rPr>
          <w:rFonts w:ascii="Century Gothic" w:eastAsia="Times New Roman" w:hAnsi="Century Gothic"/>
          <w:sz w:val="21"/>
          <w:szCs w:val="21"/>
        </w:rPr>
        <w:t>в</w:t>
      </w:r>
      <w:r w:rsidR="00E64D3F">
        <w:rPr>
          <w:rFonts w:ascii="Century Gothic" w:eastAsia="Times New Roman" w:hAnsi="Century Gothic"/>
          <w:sz w:val="21"/>
          <w:szCs w:val="21"/>
        </w:rPr>
        <w:t>алютної операції</w:t>
      </w:r>
      <w:r w:rsidR="00162CC9" w:rsidRPr="00556201">
        <w:rPr>
          <w:rFonts w:ascii="Century Gothic" w:eastAsia="Times New Roman" w:hAnsi="Century Gothic"/>
          <w:sz w:val="21"/>
          <w:szCs w:val="21"/>
        </w:rPr>
        <w:t>) в гривні</w:t>
      </w:r>
      <w:r w:rsidR="00F27DF8">
        <w:rPr>
          <w:rStyle w:val="a4"/>
          <w:rFonts w:ascii="Century Gothic" w:eastAsia="Times New Roman" w:hAnsi="Century Gothic"/>
          <w:sz w:val="21"/>
          <w:szCs w:val="21"/>
        </w:rPr>
        <w:footnoteReference w:id="1"/>
      </w:r>
      <w:r w:rsidR="00162CC9" w:rsidRPr="00556201">
        <w:rPr>
          <w:rFonts w:ascii="Century Gothic" w:eastAsia="Times New Roman" w:hAnsi="Century Gothic"/>
          <w:sz w:val="21"/>
          <w:szCs w:val="21"/>
        </w:rPr>
        <w:t xml:space="preserve">, в день здійснення переказу) відповідно до тарифів Банку. </w:t>
      </w:r>
    </w:p>
    <w:p w14:paraId="4FEA6C9F" w14:textId="426DD514" w:rsidR="00FF0BE7" w:rsidRDefault="00162CC9" w:rsidP="00340518">
      <w:pPr>
        <w:spacing w:before="100" w:beforeAutospacing="1" w:after="300"/>
        <w:ind w:firstLine="556"/>
        <w:rPr>
          <w:rFonts w:ascii="Century Gothic" w:eastAsia="Times New Roman" w:hAnsi="Century Gothic"/>
          <w:sz w:val="21"/>
          <w:szCs w:val="21"/>
        </w:rPr>
      </w:pPr>
      <w:r w:rsidRPr="00556201">
        <w:rPr>
          <w:rFonts w:ascii="Century Gothic" w:eastAsia="Times New Roman" w:hAnsi="Century Gothic"/>
          <w:sz w:val="21"/>
          <w:szCs w:val="21"/>
        </w:rPr>
        <w:t>В разі необхідності купівлі іноземної валют</w:t>
      </w:r>
      <w:r w:rsidR="00E64D3F">
        <w:rPr>
          <w:rFonts w:ascii="Century Gothic" w:eastAsia="Times New Roman" w:hAnsi="Century Gothic"/>
          <w:sz w:val="21"/>
          <w:szCs w:val="21"/>
        </w:rPr>
        <w:t xml:space="preserve">и </w:t>
      </w:r>
      <w:r w:rsidR="00B03B4A">
        <w:rPr>
          <w:rFonts w:ascii="Century Gothic" w:eastAsia="Times New Roman" w:hAnsi="Century Gothic"/>
          <w:sz w:val="21"/>
          <w:szCs w:val="21"/>
        </w:rPr>
        <w:t xml:space="preserve">на валютному ринку України </w:t>
      </w:r>
      <w:r w:rsidR="00E64D3F">
        <w:rPr>
          <w:rFonts w:ascii="Century Gothic" w:eastAsia="Times New Roman" w:hAnsi="Century Gothic"/>
          <w:sz w:val="21"/>
          <w:szCs w:val="21"/>
        </w:rPr>
        <w:t>фізична особа</w:t>
      </w:r>
      <w:r w:rsidR="00E85865">
        <w:rPr>
          <w:rFonts w:ascii="Century Gothic" w:eastAsia="Times New Roman" w:hAnsi="Century Gothic"/>
          <w:sz w:val="21"/>
          <w:szCs w:val="21"/>
        </w:rPr>
        <w:t>-резидент</w:t>
      </w:r>
      <w:r w:rsidR="00E64D3F">
        <w:rPr>
          <w:rFonts w:ascii="Century Gothic" w:eastAsia="Times New Roman" w:hAnsi="Century Gothic"/>
          <w:sz w:val="21"/>
          <w:szCs w:val="21"/>
        </w:rPr>
        <w:t xml:space="preserve"> (ініціатор </w:t>
      </w:r>
      <w:r w:rsidR="008D0A40">
        <w:rPr>
          <w:rFonts w:ascii="Century Gothic" w:eastAsia="Times New Roman" w:hAnsi="Century Gothic"/>
          <w:sz w:val="21"/>
          <w:szCs w:val="21"/>
        </w:rPr>
        <w:t>в</w:t>
      </w:r>
      <w:r w:rsidR="00E64D3F">
        <w:rPr>
          <w:rFonts w:ascii="Century Gothic" w:eastAsia="Times New Roman" w:hAnsi="Century Gothic"/>
          <w:sz w:val="21"/>
          <w:szCs w:val="21"/>
        </w:rPr>
        <w:t>алютної операції</w:t>
      </w:r>
      <w:r w:rsidRPr="00556201">
        <w:rPr>
          <w:rFonts w:ascii="Century Gothic" w:eastAsia="Times New Roman" w:hAnsi="Century Gothic"/>
          <w:sz w:val="21"/>
          <w:szCs w:val="21"/>
        </w:rPr>
        <w:t xml:space="preserve">) сплачує комісію за здійснення купівлі іноземної валюти </w:t>
      </w:r>
      <w:r w:rsidR="00FF0BE7">
        <w:rPr>
          <w:rFonts w:ascii="Century Gothic" w:eastAsia="Times New Roman" w:hAnsi="Century Gothic"/>
          <w:sz w:val="21"/>
          <w:szCs w:val="21"/>
        </w:rPr>
        <w:t>відповідно до тарифів Банку</w:t>
      </w:r>
      <w:r w:rsidR="009F4D3A">
        <w:rPr>
          <w:rFonts w:ascii="Century Gothic" w:eastAsia="Times New Roman" w:hAnsi="Century Gothic"/>
          <w:sz w:val="21"/>
          <w:szCs w:val="21"/>
        </w:rPr>
        <w:t>.</w:t>
      </w:r>
    </w:p>
    <w:p w14:paraId="4B27DEF0" w14:textId="57B378F2" w:rsidR="00A857D6" w:rsidRPr="00CF6C90" w:rsidRDefault="00162CC9" w:rsidP="00F4010D">
      <w:pPr>
        <w:spacing w:before="100" w:beforeAutospacing="1" w:after="300"/>
        <w:rPr>
          <w:rFonts w:ascii="Century Gothic" w:eastAsia="Times New Roman" w:hAnsi="Century Gothic"/>
          <w:b/>
          <w:sz w:val="21"/>
          <w:szCs w:val="21"/>
        </w:rPr>
      </w:pPr>
      <w:r w:rsidRPr="00CF6C90">
        <w:rPr>
          <w:rFonts w:ascii="Century Gothic" w:eastAsia="Times New Roman" w:hAnsi="Century Gothic"/>
          <w:b/>
          <w:sz w:val="21"/>
          <w:szCs w:val="21"/>
        </w:rPr>
        <w:t xml:space="preserve">Тарифи </w:t>
      </w:r>
      <w:r w:rsidR="00B03B4A">
        <w:rPr>
          <w:rFonts w:ascii="Century Gothic" w:eastAsia="Times New Roman" w:hAnsi="Century Gothic"/>
          <w:b/>
          <w:sz w:val="21"/>
          <w:szCs w:val="21"/>
        </w:rPr>
        <w:t>Банку</w:t>
      </w:r>
    </w:p>
    <w:tbl>
      <w:tblPr>
        <w:tblW w:w="10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6"/>
        <w:gridCol w:w="5182"/>
      </w:tblGrid>
      <w:tr w:rsidR="00162CC9" w:rsidRPr="00DC67D3" w14:paraId="080584D4" w14:textId="77777777" w:rsidTr="00371859">
        <w:trPr>
          <w:trHeight w:val="323"/>
        </w:trPr>
        <w:tc>
          <w:tcPr>
            <w:tcW w:w="5426" w:type="dxa"/>
            <w:shd w:val="clear" w:color="auto" w:fill="auto"/>
            <w:hideMark/>
          </w:tcPr>
          <w:p w14:paraId="7BA10EA7" w14:textId="77777777" w:rsidR="00162CC9" w:rsidRPr="00CF6C90" w:rsidRDefault="00162CC9" w:rsidP="00AF166A">
            <w:pPr>
              <w:rPr>
                <w:rFonts w:ascii="Century Gothic" w:eastAsia="Times New Roman" w:hAnsi="Century Gothic"/>
                <w:sz w:val="21"/>
                <w:szCs w:val="21"/>
              </w:rPr>
            </w:pPr>
            <w:r w:rsidRPr="00CF6C90">
              <w:rPr>
                <w:rFonts w:ascii="Century Gothic" w:eastAsia="Times New Roman" w:hAnsi="Century Gothic"/>
                <w:b/>
                <w:bCs/>
                <w:sz w:val="21"/>
                <w:szCs w:val="21"/>
              </w:rPr>
              <w:t>Назва тарифу</w:t>
            </w:r>
          </w:p>
        </w:tc>
        <w:tc>
          <w:tcPr>
            <w:tcW w:w="5182" w:type="dxa"/>
            <w:shd w:val="clear" w:color="auto" w:fill="auto"/>
            <w:hideMark/>
          </w:tcPr>
          <w:p w14:paraId="6CBC1F31" w14:textId="77777777" w:rsidR="00162CC9" w:rsidRPr="00CF6C90" w:rsidRDefault="00162CC9" w:rsidP="00AF166A">
            <w:pPr>
              <w:rPr>
                <w:rFonts w:ascii="Century Gothic" w:eastAsia="Times New Roman" w:hAnsi="Century Gothic"/>
                <w:sz w:val="21"/>
                <w:szCs w:val="21"/>
              </w:rPr>
            </w:pPr>
            <w:r w:rsidRPr="00CF6C90">
              <w:rPr>
                <w:rFonts w:ascii="Century Gothic" w:eastAsia="Times New Roman" w:hAnsi="Century Gothic"/>
                <w:b/>
                <w:bCs/>
                <w:sz w:val="21"/>
                <w:szCs w:val="21"/>
              </w:rPr>
              <w:t>Іноземна валюта</w:t>
            </w:r>
          </w:p>
        </w:tc>
      </w:tr>
      <w:tr w:rsidR="00162CC9" w:rsidRPr="00DC67D3" w14:paraId="54758BDD" w14:textId="77777777" w:rsidTr="00371859">
        <w:trPr>
          <w:trHeight w:val="1946"/>
        </w:trPr>
        <w:tc>
          <w:tcPr>
            <w:tcW w:w="5426" w:type="dxa"/>
            <w:shd w:val="clear" w:color="auto" w:fill="auto"/>
            <w:vAlign w:val="center"/>
            <w:hideMark/>
          </w:tcPr>
          <w:p w14:paraId="56C56D64" w14:textId="77777777" w:rsidR="00162CC9" w:rsidRPr="00CF6C90" w:rsidRDefault="00162CC9" w:rsidP="00AF166A">
            <w:pPr>
              <w:rPr>
                <w:rFonts w:ascii="Century Gothic" w:eastAsia="Times New Roman" w:hAnsi="Century Gothic"/>
                <w:sz w:val="21"/>
                <w:szCs w:val="21"/>
              </w:rPr>
            </w:pPr>
            <w:r w:rsidRPr="00CF6C90">
              <w:rPr>
                <w:rFonts w:ascii="Century Gothic" w:eastAsia="Times New Roman" w:hAnsi="Century Gothic"/>
                <w:sz w:val="21"/>
                <w:szCs w:val="21"/>
              </w:rPr>
              <w:t>Грошовий переказ з рахунку на користь юридичної або фізичної особи в інший банк по системі SWIFT</w:t>
            </w:r>
          </w:p>
        </w:tc>
        <w:tc>
          <w:tcPr>
            <w:tcW w:w="5182" w:type="dxa"/>
            <w:shd w:val="clear" w:color="auto" w:fill="auto"/>
            <w:vAlign w:val="center"/>
            <w:hideMark/>
          </w:tcPr>
          <w:p w14:paraId="6F026DE4" w14:textId="77777777" w:rsidR="00162CC9" w:rsidRPr="00CF6C90" w:rsidRDefault="00162CC9" w:rsidP="00AF166A">
            <w:pPr>
              <w:rPr>
                <w:rFonts w:ascii="Century Gothic" w:eastAsia="Times New Roman" w:hAnsi="Century Gothic"/>
                <w:sz w:val="21"/>
                <w:szCs w:val="21"/>
              </w:rPr>
            </w:pPr>
            <w:r w:rsidRPr="00CF6C90">
              <w:rPr>
                <w:rFonts w:ascii="Century Gothic" w:eastAsia="Times New Roman" w:hAnsi="Century Gothic"/>
                <w:sz w:val="21"/>
                <w:szCs w:val="21"/>
              </w:rPr>
              <w:t>Для переказу в USD/EUR/GBP - 0,75% від суми, але не менше 20 USD/EUR/GBP та не більше 500 USD/ 400 EUR/ 400 GBP</w:t>
            </w:r>
          </w:p>
          <w:p w14:paraId="4B3EB87E" w14:textId="77777777" w:rsidR="00162CC9" w:rsidRPr="00CF6C90" w:rsidRDefault="00162CC9" w:rsidP="00AF166A">
            <w:pPr>
              <w:rPr>
                <w:rFonts w:ascii="Century Gothic" w:eastAsia="Times New Roman" w:hAnsi="Century Gothic"/>
                <w:sz w:val="21"/>
                <w:szCs w:val="21"/>
              </w:rPr>
            </w:pPr>
          </w:p>
          <w:p w14:paraId="40388C92" w14:textId="5DACD40D" w:rsidR="00162CC9" w:rsidRPr="00CF6C90" w:rsidRDefault="00162CC9" w:rsidP="00AB4974">
            <w:pPr>
              <w:rPr>
                <w:rFonts w:ascii="Century Gothic" w:eastAsia="Times New Roman" w:hAnsi="Century Gothic"/>
                <w:sz w:val="21"/>
                <w:szCs w:val="21"/>
              </w:rPr>
            </w:pPr>
            <w:r>
              <w:rPr>
                <w:rFonts w:ascii="Century Gothic" w:eastAsia="Times New Roman" w:hAnsi="Century Gothic"/>
                <w:sz w:val="21"/>
                <w:szCs w:val="21"/>
              </w:rPr>
              <w:t>Додатково 1500</w:t>
            </w:r>
            <w:r w:rsidRPr="00CF6C90">
              <w:rPr>
                <w:rFonts w:ascii="Century Gothic" w:eastAsia="Times New Roman" w:hAnsi="Century Gothic"/>
                <w:sz w:val="21"/>
                <w:szCs w:val="21"/>
              </w:rPr>
              <w:t xml:space="preserve"> грн. за здійснення переказу </w:t>
            </w:r>
            <w:r w:rsidR="007C7852">
              <w:rPr>
                <w:rFonts w:ascii="Century Gothic" w:eastAsia="Times New Roman" w:hAnsi="Century Gothic"/>
                <w:sz w:val="21"/>
                <w:szCs w:val="21"/>
              </w:rPr>
              <w:t>в межах Е</w:t>
            </w:r>
            <w:r w:rsidR="00AB4974">
              <w:rPr>
                <w:rFonts w:ascii="Century Gothic" w:eastAsia="Times New Roman" w:hAnsi="Century Gothic"/>
                <w:sz w:val="21"/>
                <w:szCs w:val="21"/>
              </w:rPr>
              <w:t>-ліміту</w:t>
            </w:r>
            <w:r w:rsidRPr="00CF6C90">
              <w:rPr>
                <w:rFonts w:ascii="Century Gothic" w:eastAsia="Times New Roman" w:hAnsi="Century Gothic"/>
                <w:sz w:val="21"/>
                <w:szCs w:val="21"/>
              </w:rPr>
              <w:t xml:space="preserve">                               </w:t>
            </w:r>
          </w:p>
        </w:tc>
      </w:tr>
      <w:tr w:rsidR="00162CC9" w:rsidRPr="00DC67D3" w14:paraId="5CF9E830" w14:textId="77777777" w:rsidTr="00371859">
        <w:trPr>
          <w:trHeight w:val="446"/>
        </w:trPr>
        <w:tc>
          <w:tcPr>
            <w:tcW w:w="5426" w:type="dxa"/>
            <w:shd w:val="clear" w:color="auto" w:fill="auto"/>
            <w:vAlign w:val="center"/>
          </w:tcPr>
          <w:p w14:paraId="3C837A6C" w14:textId="77777777" w:rsidR="00162CC9" w:rsidRPr="00CF6C90" w:rsidRDefault="00162CC9" w:rsidP="00AF166A">
            <w:pPr>
              <w:rPr>
                <w:rFonts w:ascii="Century Gothic" w:eastAsia="Times New Roman" w:hAnsi="Century Gothic"/>
                <w:sz w:val="21"/>
                <w:szCs w:val="21"/>
              </w:rPr>
            </w:pPr>
            <w:r w:rsidRPr="00CF6C90">
              <w:rPr>
                <w:rFonts w:ascii="Century Gothic" w:eastAsia="Times New Roman" w:hAnsi="Century Gothic"/>
                <w:sz w:val="21"/>
                <w:szCs w:val="21"/>
              </w:rPr>
              <w:t>Купівля безготівкової валюти на МВРУ</w:t>
            </w:r>
          </w:p>
        </w:tc>
        <w:tc>
          <w:tcPr>
            <w:tcW w:w="5182" w:type="dxa"/>
            <w:shd w:val="clear" w:color="auto" w:fill="auto"/>
            <w:vAlign w:val="center"/>
          </w:tcPr>
          <w:p w14:paraId="1AFC529C" w14:textId="77777777" w:rsidR="00162CC9" w:rsidRPr="00CF6C90" w:rsidRDefault="00162CC9" w:rsidP="00AF166A">
            <w:pPr>
              <w:rPr>
                <w:rFonts w:ascii="Century Gothic" w:eastAsia="Times New Roman" w:hAnsi="Century Gothic"/>
                <w:sz w:val="21"/>
                <w:szCs w:val="21"/>
              </w:rPr>
            </w:pPr>
            <w:r w:rsidRPr="00CF6C90">
              <w:rPr>
                <w:rFonts w:ascii="Century Gothic" w:eastAsia="Times New Roman" w:hAnsi="Century Gothic"/>
                <w:sz w:val="21"/>
                <w:szCs w:val="21"/>
              </w:rPr>
              <w:t>1 % від суми, але не менше 10 USD</w:t>
            </w:r>
          </w:p>
        </w:tc>
      </w:tr>
    </w:tbl>
    <w:p w14:paraId="4D2F9BA1" w14:textId="77777777" w:rsidR="00AB2CF4" w:rsidRDefault="00AB2CF4" w:rsidP="009F4D3A">
      <w:pPr>
        <w:ind w:firstLine="709"/>
        <w:rPr>
          <w:rFonts w:ascii="Century Gothic" w:eastAsia="Times New Roman" w:hAnsi="Century Gothic"/>
          <w:sz w:val="21"/>
          <w:szCs w:val="21"/>
        </w:rPr>
      </w:pPr>
    </w:p>
    <w:p w14:paraId="739535F9" w14:textId="68EFA8E7" w:rsidR="00F4010D" w:rsidRDefault="009F4D3A" w:rsidP="009F4D3A">
      <w:pPr>
        <w:ind w:firstLine="709"/>
        <w:rPr>
          <w:rFonts w:ascii="Century Gothic" w:eastAsia="Times New Roman" w:hAnsi="Century Gothic"/>
          <w:sz w:val="21"/>
          <w:szCs w:val="21"/>
        </w:rPr>
      </w:pPr>
      <w:r w:rsidRPr="009F4D3A">
        <w:rPr>
          <w:rFonts w:ascii="Century Gothic" w:eastAsia="Times New Roman" w:hAnsi="Century Gothic"/>
          <w:sz w:val="21"/>
          <w:szCs w:val="21"/>
        </w:rPr>
        <w:t xml:space="preserve">Резидентам </w:t>
      </w:r>
      <w:r w:rsidR="009C7459" w:rsidRPr="00894503">
        <w:rPr>
          <w:rFonts w:ascii="Century Gothic" w:eastAsia="Times New Roman" w:hAnsi="Century Gothic"/>
          <w:sz w:val="21"/>
          <w:szCs w:val="21"/>
        </w:rPr>
        <w:t>заборонено</w:t>
      </w:r>
      <w:r w:rsidR="009C7459" w:rsidRPr="009F4D3A">
        <w:rPr>
          <w:rFonts w:ascii="Century Gothic" w:eastAsia="Times New Roman" w:hAnsi="Century Gothic"/>
          <w:sz w:val="21"/>
          <w:szCs w:val="21"/>
        </w:rPr>
        <w:t xml:space="preserve"> </w:t>
      </w:r>
      <w:r w:rsidRPr="009F4D3A">
        <w:rPr>
          <w:rFonts w:ascii="Century Gothic" w:eastAsia="Times New Roman" w:hAnsi="Century Gothic"/>
          <w:sz w:val="21"/>
          <w:szCs w:val="21"/>
        </w:rPr>
        <w:t>здійснювати окремі операції, пов’язані із державою (територією), що   віднесена Кабінетом Міністрів України до переліку офшорних зон та/або визнана Верховною Радою України державою-агресором/державою-окупантом, та/або не виконує чи неналежним чином виконує рекомендації міжнародних, міжурядових організацій, які проводять діяльність у сфері боротьби з легалізацією (відмиванням) доходів, одержаних злочинним шляхом, або фінансуванням тероризму чи фінансуванням розповсюдження зброї масового знищення, та/або має стратегічні недоліки у сфері боротьби з легалізацією (відмиванням) доходів, одержаних злочинним шляхом, або фінансуванням тероризму чи фінансуванням розповсюдження зброї масового знищення відповідно до заяв Групи з розробки фінансових заходів боротьби з відмиванням грошей (FATF).</w:t>
      </w:r>
    </w:p>
    <w:p w14:paraId="318FF4FD" w14:textId="64C072BB" w:rsidR="009F4D3A" w:rsidRPr="00894503" w:rsidRDefault="009F4D3A" w:rsidP="009F4D3A">
      <w:pPr>
        <w:ind w:firstLine="709"/>
        <w:rPr>
          <w:rFonts w:ascii="Century Gothic" w:eastAsia="Times New Roman" w:hAnsi="Century Gothic"/>
          <w:b/>
          <w:sz w:val="21"/>
          <w:szCs w:val="21"/>
        </w:rPr>
      </w:pPr>
      <w:r w:rsidRPr="00894503">
        <w:rPr>
          <w:rFonts w:ascii="Century Gothic" w:eastAsia="Times New Roman" w:hAnsi="Century Gothic"/>
          <w:b/>
          <w:sz w:val="21"/>
          <w:szCs w:val="21"/>
        </w:rPr>
        <w:t xml:space="preserve">До таких заборонених операцій віднесено: </w:t>
      </w:r>
    </w:p>
    <w:p w14:paraId="7AB65F5B" w14:textId="3B82529B" w:rsidR="009F4D3A" w:rsidRPr="009F4D3A" w:rsidRDefault="009F4D3A" w:rsidP="009F4D3A">
      <w:pPr>
        <w:ind w:firstLine="709"/>
        <w:rPr>
          <w:rFonts w:ascii="Century Gothic" w:eastAsia="Times New Roman" w:hAnsi="Century Gothic"/>
          <w:sz w:val="21"/>
          <w:szCs w:val="21"/>
        </w:rPr>
      </w:pPr>
      <w:r w:rsidRPr="009F4D3A">
        <w:rPr>
          <w:rFonts w:ascii="Century Gothic" w:eastAsia="Times New Roman" w:hAnsi="Century Gothic"/>
          <w:sz w:val="21"/>
          <w:szCs w:val="21"/>
        </w:rPr>
        <w:t>-  переказ іноземної валюти на власні рахунки, відкриті за кордоном в іноземних фінансових установах, що зареєстровані/мають місцезнаходження у вказаних державах (на території);</w:t>
      </w:r>
    </w:p>
    <w:p w14:paraId="56FF6D76" w14:textId="60596C9D" w:rsidR="00340518" w:rsidRPr="00F27DF8" w:rsidRDefault="009F4D3A" w:rsidP="00340518">
      <w:pPr>
        <w:ind w:firstLine="556"/>
        <w:rPr>
          <w:rFonts w:ascii="Century Gothic" w:eastAsia="Times New Roman" w:hAnsi="Century Gothic"/>
          <w:sz w:val="21"/>
          <w:szCs w:val="21"/>
        </w:rPr>
      </w:pPr>
      <w:r w:rsidRPr="009F4D3A">
        <w:rPr>
          <w:rFonts w:ascii="Century Gothic" w:eastAsia="Times New Roman" w:hAnsi="Century Gothic"/>
          <w:sz w:val="21"/>
          <w:szCs w:val="21"/>
        </w:rPr>
        <w:t>- здійснення резидентами інвестиції за кордон шляхом переказу к</w:t>
      </w:r>
      <w:r w:rsidR="00894503">
        <w:rPr>
          <w:rFonts w:ascii="Century Gothic" w:eastAsia="Times New Roman" w:hAnsi="Century Gothic"/>
          <w:sz w:val="21"/>
          <w:szCs w:val="21"/>
        </w:rPr>
        <w:t xml:space="preserve">оштів в іноземній валюті </w:t>
      </w:r>
      <w:r w:rsidRPr="009F4D3A">
        <w:rPr>
          <w:rFonts w:ascii="Century Gothic" w:eastAsia="Times New Roman" w:hAnsi="Century Gothic"/>
          <w:sz w:val="21"/>
          <w:szCs w:val="21"/>
        </w:rPr>
        <w:t>на рахунок нерезидента, відкритий в Україні та/або за кордоном, якщо об’єкт інвестиції та/або продавець-нерезидент цього об’єкта має реєстрацію/місцезнаходження/місце проживання у вказаних державах (на території)</w:t>
      </w:r>
      <w:r w:rsidR="00F27DF8" w:rsidRPr="00F27DF8">
        <w:rPr>
          <w:rFonts w:ascii="Century Gothic" w:eastAsia="Times New Roman" w:hAnsi="Century Gothic"/>
          <w:sz w:val="21"/>
          <w:szCs w:val="21"/>
        </w:rPr>
        <w:t>.</w:t>
      </w:r>
    </w:p>
    <w:p w14:paraId="7ED0F690" w14:textId="77777777" w:rsidR="009F4D3A" w:rsidRPr="009F4D3A" w:rsidRDefault="009F4D3A" w:rsidP="00AB2CF4">
      <w:pPr>
        <w:ind w:firstLine="709"/>
        <w:rPr>
          <w:rFonts w:ascii="Century Gothic" w:eastAsia="Times New Roman" w:hAnsi="Century Gothic"/>
          <w:sz w:val="21"/>
          <w:szCs w:val="21"/>
        </w:rPr>
      </w:pPr>
    </w:p>
    <w:p w14:paraId="35A3BBF1" w14:textId="0EA6E8CE" w:rsidR="00991544" w:rsidRPr="00FF0BE7" w:rsidRDefault="00162CC9" w:rsidP="00340518">
      <w:pPr>
        <w:ind w:left="163" w:right="11" w:firstLine="545"/>
        <w:rPr>
          <w:i/>
          <w:sz w:val="20"/>
        </w:rPr>
      </w:pPr>
      <w:r w:rsidRPr="00052C25">
        <w:rPr>
          <w:rFonts w:ascii="Century Gothic" w:eastAsia="Times New Roman" w:hAnsi="Century Gothic"/>
          <w:sz w:val="21"/>
          <w:szCs w:val="21"/>
        </w:rPr>
        <w:t>Додаткову інформацію можна отримати у цілодобовому Інформаційному центрі банку за телефонами:  0(800)500-500 (дзвінки зі стаціонарних телефонів в Україні безкоштовні), (044) 490-88-88 (у Києві) чи 521 з мобільного (безкоштовно для абонентів Vodafone).</w:t>
      </w:r>
    </w:p>
    <w:sectPr w:rsidR="00991544" w:rsidRPr="00FF0BE7" w:rsidSect="00790CCD">
      <w:footerReference w:type="default" r:id="rId13"/>
      <w:footnotePr>
        <w:numFmt w:val="chicago"/>
      </w:footnotePr>
      <w:pgSz w:w="11906" w:h="16838"/>
      <w:pgMar w:top="425" w:right="851" w:bottom="425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4DC65" w14:textId="77777777" w:rsidR="008141BF" w:rsidRDefault="008141BF" w:rsidP="00183688">
      <w:pPr>
        <w:spacing w:after="0" w:line="240" w:lineRule="auto"/>
      </w:pPr>
      <w:r>
        <w:separator/>
      </w:r>
    </w:p>
  </w:endnote>
  <w:endnote w:type="continuationSeparator" w:id="0">
    <w:p w14:paraId="606BCACC" w14:textId="77777777" w:rsidR="008141BF" w:rsidRDefault="008141BF" w:rsidP="00183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C1ACE" w14:textId="16A2FDE7" w:rsidR="00371859" w:rsidRDefault="00371859">
    <w:pPr>
      <w:pStyle w:val="a7"/>
    </w:pPr>
  </w:p>
  <w:p w14:paraId="2C3442D0" w14:textId="7FDC6B46" w:rsidR="00371859" w:rsidRDefault="00371859">
    <w:pPr>
      <w:pStyle w:val="a7"/>
    </w:pPr>
    <w:r>
      <w:rPr>
        <w:noProof/>
      </w:rPr>
      <w:drawing>
        <wp:inline distT="0" distB="0" distL="0" distR="0" wp14:anchorId="460C4E78" wp14:editId="5BC99A94">
          <wp:extent cx="6662955" cy="923925"/>
          <wp:effectExtent l="0" t="0" r="0" b="0"/>
          <wp:docPr id="4" name="Изображение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_ukr_eng-02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47" t="-2325" r="-877" b="13296"/>
                  <a:stretch/>
                </pic:blipFill>
                <pic:spPr bwMode="auto">
                  <a:xfrm>
                    <a:off x="0" y="0"/>
                    <a:ext cx="6901702" cy="9570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91C41" w14:textId="77777777" w:rsidR="008141BF" w:rsidRDefault="008141BF" w:rsidP="00183688">
      <w:pPr>
        <w:spacing w:after="0" w:line="240" w:lineRule="auto"/>
      </w:pPr>
      <w:r>
        <w:separator/>
      </w:r>
    </w:p>
  </w:footnote>
  <w:footnote w:type="continuationSeparator" w:id="0">
    <w:p w14:paraId="6FBA0F28" w14:textId="77777777" w:rsidR="008141BF" w:rsidRDefault="008141BF" w:rsidP="00183688">
      <w:pPr>
        <w:spacing w:after="0" w:line="240" w:lineRule="auto"/>
      </w:pPr>
      <w:r>
        <w:continuationSeparator/>
      </w:r>
    </w:p>
  </w:footnote>
  <w:footnote w:id="1">
    <w:p w14:paraId="1E11F051" w14:textId="582EF95F" w:rsidR="00F27DF8" w:rsidRDefault="00F27DF8">
      <w:pPr>
        <w:pStyle w:val="af0"/>
      </w:pPr>
      <w:r>
        <w:rPr>
          <w:rStyle w:val="a4"/>
        </w:rPr>
        <w:footnoteRef/>
      </w:r>
      <w:r>
        <w:t xml:space="preserve"> </w:t>
      </w:r>
      <w:r w:rsidR="00AB2CF4" w:rsidRPr="00052C25">
        <w:rPr>
          <w:rFonts w:ascii="Century Gothic" w:eastAsia="Times New Roman" w:hAnsi="Century Gothic"/>
          <w:sz w:val="21"/>
          <w:szCs w:val="21"/>
        </w:rPr>
        <w:t xml:space="preserve">Відкриття поточного рахунку в гривні для сплати комісії за здійснення переказу </w:t>
      </w:r>
      <w:r w:rsidR="00AB2CF4">
        <w:rPr>
          <w:rFonts w:ascii="Century Gothic" w:eastAsia="Times New Roman" w:hAnsi="Century Gothic"/>
          <w:sz w:val="21"/>
          <w:szCs w:val="21"/>
        </w:rPr>
        <w:t>за операцією, на яку поширюється Е-ліміт,</w:t>
      </w:r>
      <w:r w:rsidR="00AB2CF4" w:rsidDel="009C7459">
        <w:rPr>
          <w:rFonts w:ascii="Century Gothic" w:eastAsia="Times New Roman" w:hAnsi="Century Gothic"/>
          <w:sz w:val="21"/>
          <w:szCs w:val="21"/>
        </w:rPr>
        <w:t xml:space="preserve"> </w:t>
      </w:r>
      <w:r w:rsidR="00AB2CF4" w:rsidRPr="00052C25">
        <w:rPr>
          <w:rFonts w:eastAsia="Times New Roman"/>
          <w:sz w:val="21"/>
          <w:szCs w:val="21"/>
          <w:lang w:eastAsia="ru-RU"/>
        </w:rPr>
        <w:t xml:space="preserve">– </w:t>
      </w:r>
      <w:r w:rsidR="00AB2CF4" w:rsidRPr="00052C25">
        <w:rPr>
          <w:rFonts w:ascii="Century Gothic" w:eastAsia="Times New Roman" w:hAnsi="Century Gothic"/>
          <w:sz w:val="21"/>
          <w:szCs w:val="21"/>
        </w:rPr>
        <w:t>безкоштовно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2E02"/>
    <w:multiLevelType w:val="multilevel"/>
    <w:tmpl w:val="75D606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2709E"/>
    <w:multiLevelType w:val="multilevel"/>
    <w:tmpl w:val="09C079A6"/>
    <w:lvl w:ilvl="0">
      <w:start w:val="1"/>
      <w:numFmt w:val="bullet"/>
      <w:lvlText w:val="‐"/>
      <w:lvlJc w:val="left"/>
      <w:pPr>
        <w:tabs>
          <w:tab w:val="num" w:pos="228"/>
        </w:tabs>
        <w:ind w:left="284" w:hanging="227"/>
      </w:pPr>
      <w:rPr>
        <w:rFonts w:ascii="Calibri" w:hAnsi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948"/>
        </w:tabs>
        <w:ind w:left="9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68"/>
        </w:tabs>
        <w:ind w:left="16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108"/>
        </w:tabs>
        <w:ind w:left="31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828"/>
        </w:tabs>
        <w:ind w:left="38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268"/>
        </w:tabs>
        <w:ind w:left="52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988"/>
        </w:tabs>
        <w:ind w:left="59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959E0"/>
    <w:multiLevelType w:val="hybridMultilevel"/>
    <w:tmpl w:val="3EE4149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756C76D8"/>
    <w:multiLevelType w:val="hybridMultilevel"/>
    <w:tmpl w:val="F9861ECA"/>
    <w:lvl w:ilvl="0" w:tplc="A1A8209C">
      <w:start w:val="1"/>
      <w:numFmt w:val="bullet"/>
      <w:lvlText w:val="•"/>
      <w:lvlJc w:val="left"/>
      <w:pPr>
        <w:ind w:left="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F896C0">
      <w:start w:val="1"/>
      <w:numFmt w:val="bullet"/>
      <w:lvlText w:val="o"/>
      <w:lvlJc w:val="left"/>
      <w:pPr>
        <w:ind w:left="11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604B58">
      <w:start w:val="1"/>
      <w:numFmt w:val="bullet"/>
      <w:lvlText w:val="▪"/>
      <w:lvlJc w:val="left"/>
      <w:pPr>
        <w:ind w:left="19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B40E30">
      <w:start w:val="1"/>
      <w:numFmt w:val="bullet"/>
      <w:lvlText w:val="•"/>
      <w:lvlJc w:val="left"/>
      <w:pPr>
        <w:ind w:left="26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62C9CE">
      <w:start w:val="1"/>
      <w:numFmt w:val="bullet"/>
      <w:lvlText w:val="o"/>
      <w:lvlJc w:val="left"/>
      <w:pPr>
        <w:ind w:left="33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04ACD2">
      <w:start w:val="1"/>
      <w:numFmt w:val="bullet"/>
      <w:lvlText w:val="▪"/>
      <w:lvlJc w:val="left"/>
      <w:pPr>
        <w:ind w:left="40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A9CDE">
      <w:start w:val="1"/>
      <w:numFmt w:val="bullet"/>
      <w:lvlText w:val="•"/>
      <w:lvlJc w:val="left"/>
      <w:pPr>
        <w:ind w:left="4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A24CF6">
      <w:start w:val="1"/>
      <w:numFmt w:val="bullet"/>
      <w:lvlText w:val="o"/>
      <w:lvlJc w:val="left"/>
      <w:pPr>
        <w:ind w:left="5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DA75F4">
      <w:start w:val="1"/>
      <w:numFmt w:val="bullet"/>
      <w:lvlText w:val="▪"/>
      <w:lvlJc w:val="left"/>
      <w:pPr>
        <w:ind w:left="62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2A1"/>
    <w:rsid w:val="000052A3"/>
    <w:rsid w:val="00034D7B"/>
    <w:rsid w:val="0004027B"/>
    <w:rsid w:val="00076FD0"/>
    <w:rsid w:val="00094D5E"/>
    <w:rsid w:val="000C75FD"/>
    <w:rsid w:val="00120BFA"/>
    <w:rsid w:val="00137E44"/>
    <w:rsid w:val="00157445"/>
    <w:rsid w:val="00162CC9"/>
    <w:rsid w:val="00183688"/>
    <w:rsid w:val="001E2484"/>
    <w:rsid w:val="00211C43"/>
    <w:rsid w:val="002166BE"/>
    <w:rsid w:val="00253FFB"/>
    <w:rsid w:val="00267207"/>
    <w:rsid w:val="002A4803"/>
    <w:rsid w:val="00332897"/>
    <w:rsid w:val="00340518"/>
    <w:rsid w:val="00371859"/>
    <w:rsid w:val="0039165D"/>
    <w:rsid w:val="003B6014"/>
    <w:rsid w:val="003D74DB"/>
    <w:rsid w:val="003F2904"/>
    <w:rsid w:val="00435A55"/>
    <w:rsid w:val="004C1622"/>
    <w:rsid w:val="004D4D55"/>
    <w:rsid w:val="004D6304"/>
    <w:rsid w:val="0051799B"/>
    <w:rsid w:val="00525763"/>
    <w:rsid w:val="00557F4D"/>
    <w:rsid w:val="005B1723"/>
    <w:rsid w:val="005B1D0C"/>
    <w:rsid w:val="005F1173"/>
    <w:rsid w:val="005F57F9"/>
    <w:rsid w:val="006063AF"/>
    <w:rsid w:val="0061372A"/>
    <w:rsid w:val="00622C56"/>
    <w:rsid w:val="006548DB"/>
    <w:rsid w:val="006812BB"/>
    <w:rsid w:val="0069759C"/>
    <w:rsid w:val="006A4156"/>
    <w:rsid w:val="006A7787"/>
    <w:rsid w:val="006F0181"/>
    <w:rsid w:val="00722DEA"/>
    <w:rsid w:val="00723BA9"/>
    <w:rsid w:val="00790CCD"/>
    <w:rsid w:val="007A57A1"/>
    <w:rsid w:val="007C7852"/>
    <w:rsid w:val="007D42A1"/>
    <w:rsid w:val="00803075"/>
    <w:rsid w:val="008141BF"/>
    <w:rsid w:val="00837CFF"/>
    <w:rsid w:val="0088163B"/>
    <w:rsid w:val="00894503"/>
    <w:rsid w:val="00895CF8"/>
    <w:rsid w:val="008D0A40"/>
    <w:rsid w:val="008F4989"/>
    <w:rsid w:val="0096646D"/>
    <w:rsid w:val="00984185"/>
    <w:rsid w:val="00991544"/>
    <w:rsid w:val="009C7459"/>
    <w:rsid w:val="009F1E2B"/>
    <w:rsid w:val="009F4D3A"/>
    <w:rsid w:val="00A175F5"/>
    <w:rsid w:val="00A46C12"/>
    <w:rsid w:val="00A55924"/>
    <w:rsid w:val="00A83A86"/>
    <w:rsid w:val="00A857D6"/>
    <w:rsid w:val="00AA0681"/>
    <w:rsid w:val="00AA3182"/>
    <w:rsid w:val="00AA60A3"/>
    <w:rsid w:val="00AB2CF4"/>
    <w:rsid w:val="00AB4974"/>
    <w:rsid w:val="00AC6536"/>
    <w:rsid w:val="00AD7EBC"/>
    <w:rsid w:val="00AE5623"/>
    <w:rsid w:val="00B03B4A"/>
    <w:rsid w:val="00B14C3F"/>
    <w:rsid w:val="00B15969"/>
    <w:rsid w:val="00B677AE"/>
    <w:rsid w:val="00B7368B"/>
    <w:rsid w:val="00B82176"/>
    <w:rsid w:val="00B861E8"/>
    <w:rsid w:val="00B862BB"/>
    <w:rsid w:val="00B8765A"/>
    <w:rsid w:val="00BB66CB"/>
    <w:rsid w:val="00C00A7F"/>
    <w:rsid w:val="00C63A1A"/>
    <w:rsid w:val="00C664A5"/>
    <w:rsid w:val="00C92FE4"/>
    <w:rsid w:val="00CB478E"/>
    <w:rsid w:val="00CB560E"/>
    <w:rsid w:val="00CB7C2B"/>
    <w:rsid w:val="00CF2FEA"/>
    <w:rsid w:val="00D043F9"/>
    <w:rsid w:val="00D17B67"/>
    <w:rsid w:val="00D5741E"/>
    <w:rsid w:val="00DB774A"/>
    <w:rsid w:val="00DD7956"/>
    <w:rsid w:val="00E40DFB"/>
    <w:rsid w:val="00E64D3F"/>
    <w:rsid w:val="00E67813"/>
    <w:rsid w:val="00E85865"/>
    <w:rsid w:val="00E946DC"/>
    <w:rsid w:val="00EB43EC"/>
    <w:rsid w:val="00EC74A9"/>
    <w:rsid w:val="00EE4863"/>
    <w:rsid w:val="00EE4FD1"/>
    <w:rsid w:val="00F21037"/>
    <w:rsid w:val="00F27DF8"/>
    <w:rsid w:val="00F4010D"/>
    <w:rsid w:val="00F64B4D"/>
    <w:rsid w:val="00F67719"/>
    <w:rsid w:val="00F95AEF"/>
    <w:rsid w:val="00F96B88"/>
    <w:rsid w:val="00FB3C8A"/>
    <w:rsid w:val="00FB6520"/>
    <w:rsid w:val="00FF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BBD9"/>
  <w15:chartTrackingRefBased/>
  <w15:docId w15:val="{9AA55489-F8A1-481E-A1F9-1120EAB5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484"/>
    <w:pPr>
      <w:spacing w:after="4" w:line="268" w:lineRule="auto"/>
      <w:ind w:left="152" w:right="13" w:hanging="10"/>
      <w:jc w:val="both"/>
    </w:pPr>
    <w:rPr>
      <w:rFonts w:ascii="Arial" w:eastAsia="Arial" w:hAnsi="Arial" w:cs="Arial"/>
      <w:color w:val="00000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C3F"/>
    <w:pPr>
      <w:ind w:left="720"/>
      <w:contextualSpacing/>
    </w:pPr>
  </w:style>
  <w:style w:type="character" w:styleId="a4">
    <w:name w:val="footnote reference"/>
    <w:rsid w:val="00183688"/>
    <w:rPr>
      <w:vertAlign w:val="superscript"/>
    </w:rPr>
  </w:style>
  <w:style w:type="paragraph" w:styleId="a5">
    <w:name w:val="header"/>
    <w:basedOn w:val="a"/>
    <w:link w:val="a6"/>
    <w:uiPriority w:val="99"/>
    <w:unhideWhenUsed/>
    <w:rsid w:val="007A57A1"/>
    <w:pPr>
      <w:tabs>
        <w:tab w:val="center" w:pos="4320"/>
        <w:tab w:val="right" w:pos="8640"/>
      </w:tabs>
      <w:spacing w:after="0" w:line="240" w:lineRule="auto"/>
      <w:ind w:left="0" w:right="0" w:firstLine="0"/>
      <w:jc w:val="left"/>
    </w:pPr>
    <w:rPr>
      <w:rFonts w:ascii="Cambria" w:eastAsia="MS Mincho" w:hAnsi="Cambria" w:cs="Times New Roman"/>
      <w:color w:val="auto"/>
      <w:sz w:val="24"/>
      <w:szCs w:val="24"/>
      <w:lang w:val="ru-RU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A57A1"/>
    <w:rPr>
      <w:rFonts w:ascii="Cambria" w:eastAsia="MS Mincho" w:hAnsi="Cambria" w:cs="Times New Roman"/>
      <w:sz w:val="24"/>
      <w:szCs w:val="24"/>
      <w:lang w:val="ru-RU"/>
    </w:rPr>
  </w:style>
  <w:style w:type="paragraph" w:styleId="a7">
    <w:name w:val="footer"/>
    <w:basedOn w:val="a"/>
    <w:link w:val="a8"/>
    <w:uiPriority w:val="99"/>
    <w:unhideWhenUsed/>
    <w:rsid w:val="0037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1859"/>
    <w:rPr>
      <w:rFonts w:ascii="Arial" w:eastAsia="Arial" w:hAnsi="Arial" w:cs="Arial"/>
      <w:color w:val="000000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B67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77AE"/>
    <w:rPr>
      <w:rFonts w:ascii="Segoe UI" w:eastAsia="Arial" w:hAnsi="Segoe UI" w:cs="Segoe UI"/>
      <w:color w:val="000000"/>
      <w:sz w:val="18"/>
      <w:szCs w:val="18"/>
      <w:lang w:eastAsia="uk-UA"/>
    </w:rPr>
  </w:style>
  <w:style w:type="character" w:styleId="ab">
    <w:name w:val="annotation reference"/>
    <w:basedOn w:val="a0"/>
    <w:uiPriority w:val="99"/>
    <w:semiHidden/>
    <w:unhideWhenUsed/>
    <w:rsid w:val="008D0A4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D0A4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0A40"/>
    <w:rPr>
      <w:rFonts w:ascii="Arial" w:eastAsia="Arial" w:hAnsi="Arial" w:cs="Arial"/>
      <w:color w:val="000000"/>
      <w:sz w:val="20"/>
      <w:szCs w:val="20"/>
      <w:lang w:eastAsia="uk-U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0A4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0A40"/>
    <w:rPr>
      <w:rFonts w:ascii="Arial" w:eastAsia="Arial" w:hAnsi="Arial" w:cs="Arial"/>
      <w:b/>
      <w:bCs/>
      <w:color w:val="000000"/>
      <w:sz w:val="20"/>
      <w:szCs w:val="20"/>
      <w:lang w:eastAsia="uk-UA"/>
    </w:rPr>
  </w:style>
  <w:style w:type="paragraph" w:styleId="af0">
    <w:name w:val="footnote text"/>
    <w:basedOn w:val="a"/>
    <w:link w:val="af1"/>
    <w:uiPriority w:val="99"/>
    <w:semiHidden/>
    <w:unhideWhenUsed/>
    <w:rsid w:val="00F27DF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27DF8"/>
    <w:rPr>
      <w:rFonts w:ascii="Arial" w:eastAsia="Arial" w:hAnsi="Arial" w:cs="Arial"/>
      <w:color w:val="000000"/>
      <w:sz w:val="20"/>
      <w:szCs w:val="20"/>
      <w:lang w:eastAsia="uk-UA"/>
    </w:rPr>
  </w:style>
  <w:style w:type="paragraph" w:styleId="af2">
    <w:name w:val="Revision"/>
    <w:hidden/>
    <w:uiPriority w:val="99"/>
    <w:semiHidden/>
    <w:rsid w:val="00340518"/>
    <w:pPr>
      <w:spacing w:after="0" w:line="240" w:lineRule="auto"/>
    </w:pPr>
    <w:rPr>
      <w:rFonts w:ascii="Arial" w:eastAsia="Arial" w:hAnsi="Arial" w:cs="Arial"/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ravex.com.ua/otdeleniya-i-bankomaty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7D0E-60D9-48DD-8FFA-BCC8A74C7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BF1EE-35D9-436C-A22C-B399319C37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03A112-AD47-4023-985A-431B0CECE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1C56B1-2F44-4B0D-B17C-36B6D035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7037</Words>
  <Characters>4012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RBA</Company>
  <LinksUpToDate>false</LinksUpToDate>
  <CharactersWithSpaces>11027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Pavlushyna Liudmyla</dc:creator>
  <cp:keywords/>
  <dc:description/>
  <cp:lastModifiedBy>Angelina KOBYLETSKA</cp:lastModifiedBy>
  <cp:revision>5</cp:revision>
  <cp:lastPrinted>2019-02-25T07:31:00Z</cp:lastPrinted>
  <dcterms:created xsi:type="dcterms:W3CDTF">2019-03-05T12:51:00Z</dcterms:created>
  <dcterms:modified xsi:type="dcterms:W3CDTF">2019-03-05T14:06:00Z</dcterms:modified>
</cp:coreProperties>
</file>